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pPr>
      <w:r>
        <w:rPr>
          <w:rFonts w:ascii="Arial" w:cs="Arial" w:eastAsia="Arial" w:hAnsi="Arial"/>
          <w:b/>
          <w:bCs/>
          <w:color w:val="1B2A4A"/>
          <w:sz w:val="80"/>
          <w:szCs w:val="80"/>
        </w:rPr>
        <w:t xml:space="preserve">TPA</w:t>
      </w:r>
      <w:r>
        <w:rPr>
          <w:rFonts w:ascii="Arial" w:cs="Arial" w:eastAsia="Arial" w:hAnsi="Arial"/>
          <w:b/>
          <w:bCs/>
          <w:color w:val="B8962E"/>
          <w:sz w:val="80"/>
          <w:szCs w:val="80"/>
        </w:rPr>
        <w:t xml:space="preserve">.</w:t>
      </w:r>
    </w:p>
    <w:p>
      <w:pPr>
        <w:spacing w:after="10" w:before="40"/>
      </w:pPr>
      <w:r>
        <w:rPr>
          <w:rFonts w:ascii="Arial" w:cs="Arial" w:eastAsia="Arial" w:hAnsi="Arial"/>
          <w:color w:val="1B2A4A"/>
          <w:sz w:val="36"/>
          <w:szCs w:val="36"/>
        </w:rPr>
        <w:t xml:space="preserve">AI Readiness Assessment</w:t>
      </w:r>
    </w:p>
    <w:p>
      <w:pPr>
        <w:spacing w:after="10"/>
      </w:pPr>
      <w:r>
        <w:rPr>
          <w:rFonts w:ascii="Arial" w:cs="Arial" w:eastAsia="Arial" w:hAnsi="Arial"/>
          <w:color w:val="1B2A4A"/>
          <w:sz w:val="26"/>
          <w:szCs w:val="26"/>
        </w:rPr>
        <w:t xml:space="preserve">Findings and Recommendations</w:t>
      </w:r>
    </w:p>
    <w:p>
      <w:pPr>
        <w:spacing w:after="80"/>
      </w:pPr>
      <w:r>
        <w:rPr>
          <w:rFonts w:ascii="Arial" w:cs="Arial" w:eastAsia="Arial" w:hAnsi="Arial"/>
          <w:color w:val="888888"/>
          <w:sz w:val="22"/>
          <w:szCs w:val="22"/>
        </w:rPr>
        <w:t xml:space="preserve">Sample Output</w:t>
      </w:r>
    </w:p>
    <w:p>
      <w:pPr>
        <w:pBdr>
          <w:bottom w:val="single" w:color="B8962E" w:sz="8" w:space="0"/>
        </w:pBdr>
        <w:spacing w:after="120" w:before="0"/>
      </w:pPr>
      <w:r>
        <w:rPr>
          <w:sz w:val="4"/>
          <w:szCs w:val="4"/>
        </w:rPr>
        <w:t xml:space="preserve"/>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2800"/>
        <w:gridCol w:w="6706"/>
      </w:tblGrid>
      <w:tr>
        <w:trPr>
          <w:cantSplit/>
          <w:tblHeader/>
        </w:trPr>
        <w:tc>
          <w:tcPr>
            <w:tcW w:type="dxa" w:w="2800"/>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
            </w:r>
          </w:p>
        </w:tc>
        <w:tc>
          <w:tcPr>
            <w:tcW w:type="dxa" w:w="6706"/>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
            </w:r>
          </w:p>
        </w:tc>
      </w:tr>
      <w:tr>
        <w:tc>
          <w:tcPr>
            <w:tcW w:type="dxa" w:w="2800"/>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tcPr>
          <w:p>
            <w:r>
              <w:rPr>
                <w:rFonts w:ascii="Arial" w:cs="Arial" w:eastAsia="Arial" w:hAnsi="Arial"/>
                <w:b/>
                <w:bCs/>
                <w:color w:val="1B2A4A"/>
                <w:sz w:val="19"/>
                <w:szCs w:val="19"/>
              </w:rPr>
              <w:t xml:space="preserve">Prepared by</w:t>
            </w:r>
          </w:p>
        </w:tc>
        <w:tc>
          <w:tcPr>
            <w:tcW w:type="dxa" w:w="6706"/>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tcPr>
          <w:p>
            <w:r>
              <w:rPr>
                <w:rFonts w:ascii="Arial" w:cs="Arial" w:eastAsia="Arial" w:hAnsi="Arial"/>
                <w:color w:val="333333"/>
                <w:sz w:val="19"/>
                <w:szCs w:val="19"/>
              </w:rPr>
              <w:t xml:space="preserve">Turnpoint Advisory</w:t>
            </w:r>
          </w:p>
        </w:tc>
      </w:tr>
      <w:tr>
        <w:tc>
          <w:tcPr>
            <w:tcW w:type="dxa" w:w="2800"/>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b/>
                <w:bCs/>
                <w:color w:val="1B2A4A"/>
                <w:sz w:val="19"/>
                <w:szCs w:val="19"/>
              </w:rPr>
              <w:t xml:space="preserve">Prepared for</w:t>
            </w:r>
          </w:p>
        </w:tc>
        <w:tc>
          <w:tcPr>
            <w:tcW w:type="dxa" w:w="670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color w:val="333333"/>
                <w:sz w:val="19"/>
                <w:szCs w:val="19"/>
              </w:rPr>
              <w:t xml:space="preserve">Meridian Recruitment Group</w:t>
            </w:r>
          </w:p>
        </w:tc>
      </w:tr>
      <w:tr>
        <w:tc>
          <w:tcPr>
            <w:tcW w:type="dxa" w:w="2800"/>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tcPr>
          <w:p>
            <w:r>
              <w:rPr>
                <w:rFonts w:ascii="Arial" w:cs="Arial" w:eastAsia="Arial" w:hAnsi="Arial"/>
                <w:b/>
                <w:bCs/>
                <w:color w:val="1B2A4A"/>
                <w:sz w:val="19"/>
                <w:szCs w:val="19"/>
              </w:rPr>
              <w:t xml:space="preserve">Assessment date</w:t>
            </w:r>
          </w:p>
        </w:tc>
        <w:tc>
          <w:tcPr>
            <w:tcW w:type="dxa" w:w="6706"/>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tcPr>
          <w:p>
            <w:r>
              <w:rPr>
                <w:rFonts w:ascii="Arial" w:cs="Arial" w:eastAsia="Arial" w:hAnsi="Arial"/>
                <w:color w:val="333333"/>
                <w:sz w:val="19"/>
                <w:szCs w:val="19"/>
              </w:rPr>
              <w:t xml:space="preserve">June 2026</w:t>
            </w:r>
          </w:p>
        </w:tc>
      </w:tr>
      <w:tr>
        <w:tc>
          <w:tcPr>
            <w:tcW w:type="dxa" w:w="2800"/>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b/>
                <w:bCs/>
                <w:color w:val="1B2A4A"/>
                <w:sz w:val="19"/>
                <w:szCs w:val="19"/>
              </w:rPr>
              <w:t xml:space="preserve">Classification</w:t>
            </w:r>
          </w:p>
        </w:tc>
        <w:tc>
          <w:tcPr>
            <w:tcW w:type="dxa" w:w="670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color w:val="333333"/>
                <w:sz w:val="19"/>
                <w:szCs w:val="19"/>
              </w:rPr>
              <w:t xml:space="preserve">Sample  |  Confidential</w:t>
            </w:r>
          </w:p>
        </w:tc>
      </w:tr>
    </w:tbl>
    <w:p>
      <w:r>
        <w:br w:type="page"/>
      </w:r>
    </w:p>
    <w:p>
      <w:pPr>
        <w:sectPr>
          <w:pgSz w:w="11906" w:h="16838" w:orient="portrait"/>
          <w:pgMar w:top="1440" w:right="1200" w:bottom="1440" w:left="1200" w:header="708" w:footer="708" w:gutter="0"/>
          <w:pgNumType/>
          <w:docGrid w:linePitch="360"/>
        </w:sectPr>
      </w:pPr>
    </w:p>
    <w:p>
      <w:pPr>
        <w:pBdr>
          <w:bottom w:val="single" w:color="B8962E" w:sz="3" w:space="4"/>
        </w:pBdr>
        <w:spacing w:after="140" w:before="360"/>
      </w:pPr>
      <w:r>
        <w:rPr>
          <w:rFonts w:ascii="Arial" w:cs="Arial" w:eastAsia="Arial" w:hAnsi="Arial"/>
          <w:b/>
          <w:bCs/>
          <w:color w:val="1B2A4A"/>
          <w:sz w:val="26"/>
          <w:szCs w:val="26"/>
        </w:rPr>
        <w:t xml:space="preserve">Executive Summary</w:t>
      </w:r>
      <w:r>
        <w:rPr>
          <w:rFonts w:ascii="Arial" w:cs="Arial" w:eastAsia="Arial" w:hAnsi="Arial"/>
          <w:i/>
          <w:iCs/>
          <w:color w:val="B8962E"/>
          <w:sz w:val="18"/>
          <w:szCs w:val="18"/>
        </w:rPr>
        <w:t xml:space="preserve">   Sample</w:t>
      </w:r>
    </w:p>
    <w:p>
      <w:pPr>
        <w:spacing w:after="100" w:before="0" w:line="276" w:lineRule="auto"/>
      </w:pPr>
      <w:r>
        <w:rPr>
          <w:rFonts w:ascii="Arial" w:cs="Arial" w:eastAsia="Arial" w:hAnsi="Arial"/>
          <w:i w:val="false"/>
          <w:iCs w:val="false"/>
          <w:color w:val="333333"/>
          <w:sz w:val="19"/>
          <w:szCs w:val="19"/>
        </w:rPr>
        <w:t xml:space="preserve">The assessment covers five dimensions of AI readiness across Meridian's business. Process and commercial readiness are the strongest signals. The business has the volume, the rate card, and the task structure to generate material returns quickly. Governance is the most immediate risk, not a future consideration. Four of the five opportunities identified are directly quantifiable. The fifth, client engagement monitoring, represents revenue protection and is treated separately.</w:t>
      </w:r>
    </w:p>
    <w:p>
      <w:pPr>
        <w:spacing w:after="100" w:before="0" w:line="276" w:lineRule="auto"/>
      </w:pPr>
      <w:r>
        <w:rPr>
          <w:rFonts w:ascii="Arial" w:cs="Arial" w:eastAsia="Arial" w:hAnsi="Arial"/>
          <w:i w:val="false"/>
          <w:iCs w:val="false"/>
          <w:color w:val="333333"/>
          <w:sz w:val="19"/>
          <w:szCs w:val="19"/>
        </w:rPr>
        <w:t xml:space="preserve">Opportunities 01 and 02 are the starting point. Both deploy within 30 days without JobAdder integration and together recover more than $220,000 in annualised consultant time. They also establish the prompt frameworks, output standards, and review protocol that every subsequent opportunity depends on.</w:t>
      </w:r>
    </w:p>
    <w:p>
      <w:pPr>
        <w:spacing w:after="100" w:before="0" w:line="276" w:lineRule="auto"/>
      </w:pPr>
      <w:r>
        <w:rPr>
          <w:rFonts w:ascii="Arial" w:cs="Arial" w:eastAsia="Arial" w:hAnsi="Arial"/>
          <w:i w:val="false"/>
          <w:iCs w:val="false"/>
          <w:color w:val="333333"/>
          <w:sz w:val="19"/>
          <w:szCs w:val="19"/>
        </w:rPr>
        <w:t xml:space="preserve">Opportunity 04 follows in Phase 2. Eighteen consultants are producing client-facing communications to no shared standard. The quality variance is unmanaged and visible to clients. Voice profiles close that gap at scale.</w:t>
      </w:r>
    </w:p>
    <w:p>
      <w:pPr>
        <w:spacing w:after="100" w:before="0" w:line="276" w:lineRule="auto"/>
      </w:pPr>
      <w:r>
        <w:rPr>
          <w:rFonts w:ascii="Arial" w:cs="Arial" w:eastAsia="Arial" w:hAnsi="Arial"/>
          <w:i w:val="false"/>
          <w:iCs w:val="false"/>
          <w:color w:val="333333"/>
          <w:sz w:val="19"/>
          <w:szCs w:val="19"/>
        </w:rPr>
        <w:t xml:space="preserve">Opportunity 03 is an AI-powered early warning system for at-risk placements, representing $204,000 in annual revenue protection. It requires JobAdder API access and data structuring work before deployment, and is treated as a Phase 3 priority. It is not included in the $375,000 directional total.</w:t>
      </w:r>
    </w:p>
    <w:p>
      <w:pPr>
        <w:spacing w:after="100" w:before="0" w:line="276" w:lineRule="auto"/>
      </w:pPr>
      <w:r>
        <w:rPr>
          <w:rFonts w:ascii="Arial" w:cs="Arial" w:eastAsia="Arial" w:hAnsi="Arial"/>
          <w:i w:val="false"/>
          <w:iCs w:val="false"/>
          <w:color w:val="333333"/>
          <w:sz w:val="19"/>
          <w:szCs w:val="19"/>
        </w:rPr>
        <w:t xml:space="preserve">Full arithmetic for each opportunity is in Section 3. All estimates are built from Meridian's own operating parameters.</w:t>
      </w:r>
    </w:p>
    <w:p>
      <w:pPr>
        <w:spacing w:after="0" w:before="0" w:line="160" w:lineRule="exact"/>
      </w:pPr>
      <w:r>
        <w:rPr>
          <w:sz w:val="4"/>
          <w:szCs w:val="4"/>
        </w:rPr>
        <w:t xml:space="preserve"/>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5703"/>
        <w:gridCol w:w="3802"/>
      </w:tblGrid>
      <w:tr>
        <w:trPr>
          <w:cantSplit/>
          <w:tblHeader/>
        </w:trPr>
        <w:tc>
          <w:tcPr>
            <w:tcW w:type="dxa" w:w="5703"/>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Opportunity</w:t>
            </w:r>
          </w:p>
        </w:tc>
        <w:tc>
          <w:tcPr>
            <w:tcW w:type="dxa" w:w="3802"/>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Est. Annual Value</w:t>
            </w:r>
          </w:p>
        </w:tc>
      </w:tr>
      <w:tr>
        <w:trPr>
          <w:cantSplit/>
        </w:trPr>
        <w:tc>
          <w:tcPr>
            <w:tcW w:type="dxa" w:w="5703"/>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01  Proposal Generation</w:t>
            </w:r>
          </w:p>
        </w:tc>
        <w:tc>
          <w:tcPr>
            <w:tcW w:type="dxa" w:w="380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$36,720</w:t>
            </w:r>
          </w:p>
        </w:tc>
      </w:tr>
      <w:tr>
        <w:trPr>
          <w:cantSplit/>
        </w:trPr>
        <w:tc>
          <w:tcPr>
            <w:tcW w:type="dxa" w:w="5703"/>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02  Assessment Writeups</w:t>
            </w:r>
          </w:p>
        </w:tc>
        <w:tc>
          <w:tcPr>
            <w:tcW w:type="dxa" w:w="3802"/>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$183,600</w:t>
            </w:r>
          </w:p>
        </w:tc>
      </w:tr>
      <w:tr>
        <w:trPr>
          <w:cantSplit/>
        </w:trPr>
        <w:tc>
          <w:tcPr>
            <w:tcW w:type="dxa" w:w="5703"/>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03  Engagement Monitoring</w:t>
            </w:r>
          </w:p>
        </w:tc>
        <w:tc>
          <w:tcPr>
            <w:tcW w:type="dxa" w:w="380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val="false"/>
                <w:bCs w:val="false"/>
                <w:color w:val="888888"/>
                <w:sz w:val="19"/>
                <w:szCs w:val="19"/>
              </w:rPr>
              <w:t xml:space="preserve">Revenue protection (see Section 3)</w:t>
            </w:r>
          </w:p>
        </w:tc>
      </w:tr>
      <w:tr>
        <w:trPr>
          <w:cantSplit/>
        </w:trPr>
        <w:tc>
          <w:tcPr>
            <w:tcW w:type="dxa" w:w="5703"/>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04  Consultant Voice Profiles</w:t>
            </w:r>
          </w:p>
        </w:tc>
        <w:tc>
          <w:tcPr>
            <w:tcW w:type="dxa" w:w="3802"/>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$137,700</w:t>
            </w:r>
          </w:p>
        </w:tc>
      </w:tr>
      <w:tr>
        <w:trPr>
          <w:cantSplit/>
        </w:trPr>
        <w:tc>
          <w:tcPr>
            <w:tcW w:type="dxa" w:w="5703"/>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05  Market Mapping</w:t>
            </w:r>
          </w:p>
        </w:tc>
        <w:tc>
          <w:tcPr>
            <w:tcW w:type="dxa" w:w="380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$19,584</w:t>
            </w:r>
          </w:p>
        </w:tc>
      </w:tr>
    </w:tbl>
    <w:p>
      <w:pPr>
        <w:pBdr>
          <w:left w:val="single" w:color="B8962E" w:sz="16" w:space="8"/>
        </w:pBdr>
        <w:spacing w:after="0" w:before="100"/>
        <w:ind w:left="200"/>
      </w:pPr>
      <w:r>
        <w:rPr>
          <w:rFonts w:ascii="Arial" w:cs="Arial" w:eastAsia="Arial" w:hAnsi="Arial"/>
          <w:b/>
          <w:bCs/>
          <w:color w:val="1B2A4A"/>
          <w:sz w:val="19"/>
          <w:szCs w:val="19"/>
        </w:rPr>
        <w:t xml:space="preserve">Total directional upside (Opportunities 01, 02, 04 and 05)</w:t>
      </w:r>
      <w:r>
        <w:t xml:space="preserve">     </w:t>
      </w:r>
      <w:r>
        <w:rPr>
          <w:rFonts w:ascii="Arial" w:cs="Arial" w:eastAsia="Arial" w:hAnsi="Arial"/>
          <w:b/>
          <w:bCs/>
          <w:color w:val="1B2A4A"/>
          <w:sz w:val="19"/>
          <w:szCs w:val="19"/>
        </w:rPr>
        <w:t xml:space="preserve">~$375,000 per annum</w:t>
      </w:r>
    </w:p>
    <w:p>
      <w:pPr>
        <w:pBdr>
          <w:top w:val="single" w:color="B8962E" w:sz="4" w:space="6"/>
          <w:bottom w:val="single" w:color="B8962E" w:sz="4" w:space="6"/>
        </w:pBdr>
        <w:spacing w:after="100" w:before="180" w:line="276" w:lineRule="auto"/>
      </w:pPr>
      <w:r>
        <w:rPr>
          <w:rFonts w:ascii="Arial" w:cs="Arial" w:eastAsia="Arial" w:hAnsi="Arial"/>
          <w:i/>
          <w:iCs/>
          <w:color w:val="1B2A4A"/>
          <w:sz w:val="19"/>
          <w:szCs w:val="19"/>
        </w:rPr>
        <w:t xml:space="preserve">Five opportunities. $375,000 in directional annual upside across the four near-term opportunities. The sequencing and delivery plan are in this document.</w:t>
      </w:r>
    </w:p>
    <w:p>
      <w:pPr>
        <w:pageBreakBefore/>
        <w:pBdr>
          <w:bottom w:val="single" w:color="B8962E" w:sz="3" w:space="4"/>
        </w:pBdr>
        <w:spacing w:after="140" w:before="0"/>
      </w:pPr>
      <w:r>
        <w:rPr>
          <w:rFonts w:ascii="Arial" w:cs="Arial" w:eastAsia="Arial" w:hAnsi="Arial"/>
          <w:b/>
          <w:bCs/>
          <w:color w:val="1B2A4A"/>
          <w:sz w:val="26"/>
          <w:szCs w:val="26"/>
        </w:rPr>
        <w:t xml:space="preserve">Assessment Dimensions</w:t>
      </w:r>
      <w:r>
        <w:rPr>
          <w:rFonts w:ascii="Arial" w:cs="Arial" w:eastAsia="Arial" w:hAnsi="Arial"/>
          <w:i/>
          <w:iCs/>
          <w:color w:val="B8962E"/>
          <w:sz w:val="18"/>
          <w:szCs w:val="18"/>
        </w:rPr>
        <w:t xml:space="preserve">   Sample</w:t>
      </w:r>
    </w:p>
    <w:p>
      <w:pPr>
        <w:spacing w:after="100" w:before="0" w:line="276" w:lineRule="auto"/>
      </w:pPr>
      <w:r>
        <w:rPr>
          <w:rFonts w:ascii="Arial" w:cs="Arial" w:eastAsia="Arial" w:hAnsi="Arial"/>
          <w:i w:val="false"/>
          <w:iCs w:val="false"/>
          <w:color w:val="333333"/>
          <w:sz w:val="19"/>
          <w:szCs w:val="19"/>
        </w:rPr>
        <w:t xml:space="preserve">Five dimensions assessed. Rated across four maturity levels: At Risk, Developing, Established, Scale-Ready.</w:t>
      </w:r>
    </w:p>
    <w:p>
      <w:pPr>
        <w:spacing w:after="0" w:before="0" w:line="120" w:lineRule="exact"/>
      </w:pPr>
      <w:r>
        <w:rPr>
          <w:sz w:val="4"/>
          <w:szCs w:val="4"/>
        </w:rPr>
        <w:t xml:space="preserve"/>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2281"/>
        <w:gridCol w:w="1711"/>
        <w:gridCol w:w="5513"/>
      </w:tblGrid>
      <w:tr>
        <w:trPr>
          <w:cantSplit/>
          <w:tblHeader/>
        </w:trPr>
        <w:tc>
          <w:tcPr>
            <w:tcW w:type="dxa" w:w="2281"/>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Dimension</w:t>
            </w:r>
          </w:p>
        </w:tc>
        <w:tc>
          <w:tcPr>
            <w:tcW w:type="dxa" w:w="1711"/>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Rating</w:t>
            </w:r>
          </w:p>
        </w:tc>
        <w:tc>
          <w:tcPr>
            <w:tcW w:type="dxa" w:w="5513"/>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Finding</w:t>
            </w:r>
          </w:p>
        </w:tc>
      </w:tr>
      <w:tr>
        <w:trPr>
          <w:cantSplit/>
        </w:trPr>
        <w:tc>
          <w:tcPr>
            <w:tcW w:type="dxa" w:w="228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Process Readiness</w:t>
            </w:r>
          </w:p>
        </w:tc>
        <w:tc>
          <w:tcPr>
            <w:tcW w:type="dxa" w:w="1711"/>
            <w:tcBorders>
              <w:top w:val="single" w:color="DDDDDD" w:sz="4"/>
              <w:left w:val="none" w:color="FFFFFF" w:sz="0"/>
              <w:bottom w:val="single" w:color="DDDDDD" w:sz="4"/>
              <w:right w:val="none" w:color="FFFFFF" w:sz="0"/>
            </w:tcBorders>
            <w:shd w:fill="E87722" w:val="clear"/>
            <w:tcMar>
              <w:top w:type="dxa" w:w="70"/>
              <w:left w:type="dxa" w:w="120"/>
              <w:bottom w:type="dxa" w:w="70"/>
              <w:right w:type="dxa" w:w="120"/>
            </w:tcMar>
            <w:vAlign w:val="center"/>
          </w:tcPr>
          <w:p>
            <w:pPr>
              <w:jc w:val="center"/>
            </w:pPr>
            <w:r>
              <w:rPr>
                <w:rFonts w:ascii="Arial" w:cs="Arial" w:eastAsia="Arial" w:hAnsi="Arial"/>
                <w:b/>
                <w:bCs/>
                <w:color w:val="FFFFFF"/>
                <w:sz w:val="17"/>
                <w:szCs w:val="17"/>
              </w:rPr>
              <w:t xml:space="preserve">Developing</w:t>
            </w:r>
          </w:p>
        </w:tc>
        <w:tc>
          <w:tcPr>
            <w:tcW w:type="dxa" w:w="5513"/>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50-plus consultant-hours per week on manual writeups and proposals. Addressable within 30 days.</w:t>
            </w:r>
          </w:p>
        </w:tc>
      </w:tr>
      <w:tr>
        <w:trPr>
          <w:cantSplit/>
        </w:trPr>
        <w:tc>
          <w:tcPr>
            <w:tcW w:type="dxa" w:w="228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Data Readiness</w:t>
            </w:r>
          </w:p>
        </w:tc>
        <w:tc>
          <w:tcPr>
            <w:tcW w:type="dxa" w:w="1711"/>
            <w:tcBorders>
              <w:top w:val="single" w:color="DDDDDD" w:sz="4"/>
              <w:left w:val="none" w:color="FFFFFF" w:sz="0"/>
              <w:bottom w:val="single" w:color="DDDDDD" w:sz="4"/>
              <w:right w:val="none" w:color="FFFFFF" w:sz="0"/>
            </w:tcBorders>
            <w:shd w:fill="E87722" w:val="clear"/>
            <w:tcMar>
              <w:top w:type="dxa" w:w="70"/>
              <w:left w:type="dxa" w:w="120"/>
              <w:bottom w:type="dxa" w:w="70"/>
              <w:right w:type="dxa" w:w="120"/>
            </w:tcMar>
            <w:vAlign w:val="center"/>
          </w:tcPr>
          <w:p>
            <w:pPr>
              <w:jc w:val="center"/>
            </w:pPr>
            <w:r>
              <w:rPr>
                <w:rFonts w:ascii="Arial" w:cs="Arial" w:eastAsia="Arial" w:hAnsi="Arial"/>
                <w:b/>
                <w:bCs/>
                <w:color w:val="FFFFFF"/>
                <w:sz w:val="17"/>
                <w:szCs w:val="17"/>
              </w:rPr>
              <w:t xml:space="preserve">Developing</w:t>
            </w:r>
          </w:p>
        </w:tc>
        <w:tc>
          <w:tcPr>
            <w:tcW w:type="dxa" w:w="5513"/>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JobAdder data present but inconsistently structured. Limits the more complex AI applications.</w:t>
            </w:r>
          </w:p>
        </w:tc>
      </w:tr>
      <w:tr>
        <w:trPr>
          <w:cantSplit/>
        </w:trPr>
        <w:tc>
          <w:tcPr>
            <w:tcW w:type="dxa" w:w="228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Workforce Readiness</w:t>
            </w:r>
          </w:p>
        </w:tc>
        <w:tc>
          <w:tcPr>
            <w:tcW w:type="dxa" w:w="1711"/>
            <w:tcBorders>
              <w:top w:val="single" w:color="DDDDDD" w:sz="4"/>
              <w:left w:val="none" w:color="FFFFFF" w:sz="0"/>
              <w:bottom w:val="single" w:color="DDDDDD" w:sz="4"/>
              <w:right w:val="none" w:color="FFFFFF" w:sz="0"/>
            </w:tcBorders>
            <w:shd w:fill="E87722" w:val="clear"/>
            <w:tcMar>
              <w:top w:type="dxa" w:w="70"/>
              <w:left w:type="dxa" w:w="120"/>
              <w:bottom w:type="dxa" w:w="70"/>
              <w:right w:type="dxa" w:w="120"/>
            </w:tcMar>
            <w:vAlign w:val="center"/>
          </w:tcPr>
          <w:p>
            <w:pPr>
              <w:jc w:val="center"/>
            </w:pPr>
            <w:r>
              <w:rPr>
                <w:rFonts w:ascii="Arial" w:cs="Arial" w:eastAsia="Arial" w:hAnsi="Arial"/>
                <w:b/>
                <w:bCs/>
                <w:color w:val="FFFFFF"/>
                <w:sz w:val="17"/>
                <w:szCs w:val="17"/>
              </w:rPr>
              <w:t xml:space="preserve">Developing</w:t>
            </w:r>
          </w:p>
        </w:tc>
        <w:tc>
          <w:tcPr>
            <w:tcW w:type="dxa" w:w="5513"/>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Ad hoc individual AI use without governance. Efficiency gains are partial and inconsistent.</w:t>
            </w:r>
          </w:p>
        </w:tc>
      </w:tr>
      <w:tr>
        <w:trPr>
          <w:cantSplit/>
        </w:trPr>
        <w:tc>
          <w:tcPr>
            <w:tcW w:type="dxa" w:w="228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Governance Readiness</w:t>
            </w:r>
          </w:p>
        </w:tc>
        <w:tc>
          <w:tcPr>
            <w:tcW w:type="dxa" w:w="1711"/>
            <w:tcBorders>
              <w:top w:val="single" w:color="DDDDDD" w:sz="4"/>
              <w:left w:val="none" w:color="FFFFFF" w:sz="0"/>
              <w:bottom w:val="single" w:color="DDDDDD" w:sz="4"/>
              <w:right w:val="none" w:color="FFFFFF" w:sz="0"/>
            </w:tcBorders>
            <w:shd w:fill="C0392B" w:val="clear"/>
            <w:tcMar>
              <w:top w:type="dxa" w:w="70"/>
              <w:left w:type="dxa" w:w="120"/>
              <w:bottom w:type="dxa" w:w="70"/>
              <w:right w:type="dxa" w:w="120"/>
            </w:tcMar>
            <w:vAlign w:val="center"/>
          </w:tcPr>
          <w:p>
            <w:pPr>
              <w:jc w:val="center"/>
            </w:pPr>
            <w:r>
              <w:rPr>
                <w:rFonts w:ascii="Arial" w:cs="Arial" w:eastAsia="Arial" w:hAnsi="Arial"/>
                <w:b/>
                <w:bCs/>
                <w:color w:val="FFFFFF"/>
                <w:sz w:val="17"/>
                <w:szCs w:val="17"/>
              </w:rPr>
              <w:t xml:space="preserve">At Risk</w:t>
            </w:r>
          </w:p>
        </w:tc>
        <w:tc>
          <w:tcPr>
            <w:tcW w:type="dxa" w:w="5513"/>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No usage policy, no output review standard, no accountability structure. An active liability.</w:t>
            </w:r>
          </w:p>
        </w:tc>
      </w:tr>
      <w:tr>
        <w:trPr>
          <w:cantSplit/>
        </w:trPr>
        <w:tc>
          <w:tcPr>
            <w:tcW w:type="dxa" w:w="228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Commercial Readiness</w:t>
            </w:r>
          </w:p>
        </w:tc>
        <w:tc>
          <w:tcPr>
            <w:tcW w:type="dxa" w:w="1711"/>
            <w:tcBorders>
              <w:top w:val="single" w:color="DDDDDD" w:sz="4"/>
              <w:left w:val="none" w:color="FFFFFF" w:sz="0"/>
              <w:bottom w:val="single" w:color="DDDDDD" w:sz="4"/>
              <w:right w:val="none" w:color="FFFFFF" w:sz="0"/>
            </w:tcBorders>
            <w:shd w:fill="27AE60" w:val="clear"/>
            <w:tcMar>
              <w:top w:type="dxa" w:w="70"/>
              <w:left w:type="dxa" w:w="120"/>
              <w:bottom w:type="dxa" w:w="70"/>
              <w:right w:type="dxa" w:w="120"/>
            </w:tcMar>
            <w:vAlign w:val="center"/>
          </w:tcPr>
          <w:p>
            <w:pPr>
              <w:jc w:val="center"/>
            </w:pPr>
            <w:r>
              <w:rPr>
                <w:rFonts w:ascii="Arial" w:cs="Arial" w:eastAsia="Arial" w:hAnsi="Arial"/>
                <w:b/>
                <w:bCs/>
                <w:color w:val="FFFFFF"/>
                <w:sz w:val="17"/>
                <w:szCs w:val="17"/>
              </w:rPr>
              <w:t xml:space="preserve">Established</w:t>
            </w:r>
          </w:p>
        </w:tc>
        <w:tc>
          <w:tcPr>
            <w:tcW w:type="dxa" w:w="5513"/>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Volume, rate card, and task structure all support rapid payback. Sequencing is the only constraint.</w:t>
            </w:r>
          </w:p>
        </w:tc>
      </w:tr>
    </w:tbl>
    <w:p>
      <w:pPr>
        <w:spacing w:after="0" w:before="0" w:line="160" w:lineRule="exact"/>
      </w:pPr>
      <w:r>
        <w:rPr>
          <w:sz w:val="4"/>
          <w:szCs w:val="4"/>
        </w:rPr>
        <w:t xml:space="preserve"/>
      </w:r>
    </w:p>
    <w:p>
      <w:pPr>
        <w:spacing w:after="60" w:before="160"/>
      </w:pPr>
      <w:r>
        <w:rPr>
          <w:rFonts w:ascii="Arial" w:cs="Arial" w:eastAsia="Arial" w:hAnsi="Arial"/>
          <w:b/>
          <w:bCs/>
          <w:color w:val="1B2A4A"/>
          <w:sz w:val="21"/>
          <w:szCs w:val="21"/>
        </w:rPr>
        <w:t xml:space="preserve">Process Readiness</w:t>
      </w:r>
    </w:p>
    <w:p>
      <w:pPr>
        <w:pBdr>
          <w:left w:val="single" w:color="B8962E" w:sz="16" w:space="8"/>
        </w:pBdr>
        <w:spacing w:after="80" w:before="40" w:line="276" w:lineRule="auto"/>
        <w:ind w:left="240"/>
      </w:pPr>
      <w:r>
        <w:rPr>
          <w:rFonts w:ascii="Arial" w:cs="Arial" w:eastAsia="Arial" w:hAnsi="Arial"/>
          <w:color w:val="333333"/>
          <w:sz w:val="19"/>
          <w:szCs w:val="19"/>
        </w:rPr>
        <w:t xml:space="preserve">Nine proposals and 90 writeups per week. At 90 and 45 minutes respectively, those two tasks consume more than 50 consultant-hours weekly on structurally repetitive work. AI-assisted drafting addresses both within 30 days. No custom build required. No CRM integration in the initial phase.</w:t>
      </w:r>
    </w:p>
    <w:p>
      <w:pPr>
        <w:spacing w:after="60" w:before="160"/>
      </w:pPr>
      <w:r>
        <w:rPr>
          <w:rFonts w:ascii="Arial" w:cs="Arial" w:eastAsia="Arial" w:hAnsi="Arial"/>
          <w:b/>
          <w:bCs/>
          <w:color w:val="1B2A4A"/>
          <w:sz w:val="21"/>
          <w:szCs w:val="21"/>
        </w:rPr>
        <w:t xml:space="preserve">Data Readiness</w:t>
      </w:r>
    </w:p>
    <w:p>
      <w:pPr>
        <w:pBdr>
          <w:left w:val="single" w:color="B8962E" w:sz="16" w:space="8"/>
        </w:pBdr>
        <w:spacing w:after="80" w:before="40" w:line="276" w:lineRule="auto"/>
        <w:ind w:left="240"/>
      </w:pPr>
      <w:r>
        <w:rPr>
          <w:rFonts w:ascii="Arial" w:cs="Arial" w:eastAsia="Arial" w:hAnsi="Arial"/>
          <w:color w:val="333333"/>
          <w:sz w:val="19"/>
          <w:szCs w:val="19"/>
        </w:rPr>
        <w:t xml:space="preserve">JobAdder holds the data Meridian needs. The constraint is consistency: field completion rates are variable, naming conventions differ, and stage definitions are not applied uniformly. Opportunities 01, 02, and 04 are unaffected. They do not require JobAdder integration initially. Opportunity 03 does. Data structuring is scoped in Phase 3.</w:t>
      </w:r>
    </w:p>
    <w:p>
      <w:pPr>
        <w:spacing w:after="60" w:before="160"/>
      </w:pPr>
      <w:r>
        <w:rPr>
          <w:rFonts w:ascii="Arial" w:cs="Arial" w:eastAsia="Arial" w:hAnsi="Arial"/>
          <w:b/>
          <w:bCs/>
          <w:color w:val="1B2A4A"/>
          <w:sz w:val="21"/>
          <w:szCs w:val="21"/>
        </w:rPr>
        <w:t xml:space="preserve">Workforce Readiness</w:t>
      </w:r>
    </w:p>
    <w:p>
      <w:pPr>
        <w:pBdr>
          <w:left w:val="single" w:color="B8962E" w:sz="16" w:space="8"/>
        </w:pBdr>
        <w:spacing w:after="80" w:before="40" w:line="276" w:lineRule="auto"/>
        <w:ind w:left="240"/>
      </w:pPr>
      <w:r>
        <w:rPr>
          <w:rFonts w:ascii="Arial" w:cs="Arial" w:eastAsia="Arial" w:hAnsi="Arial"/>
          <w:color w:val="333333"/>
          <w:sz w:val="19"/>
          <w:szCs w:val="19"/>
        </w:rPr>
        <w:t xml:space="preserve">Consultants are already using AI individually. Use is ad hoc and ungoverned. The business is capturing a fraction of the available efficiency and none of the consistency benefit. The intervention required is operational: a governed team-wide workflow with defined prompt frameworks and a mandatory review step before any AI-generated output reaches a client.</w:t>
      </w:r>
    </w:p>
    <w:p>
      <w:pPr>
        <w:spacing w:after="60" w:before="160"/>
      </w:pPr>
      <w:r>
        <w:rPr>
          <w:rFonts w:ascii="Arial" w:cs="Arial" w:eastAsia="Arial" w:hAnsi="Arial"/>
          <w:b/>
          <w:bCs/>
          <w:color w:val="1B2A4A"/>
          <w:sz w:val="21"/>
          <w:szCs w:val="21"/>
        </w:rPr>
        <w:t xml:space="preserve">Governance Readiness</w:t>
      </w:r>
    </w:p>
    <w:p>
      <w:pPr>
        <w:pBdr>
          <w:left w:val="single" w:color="B8962E" w:sz="16" w:space="8"/>
        </w:pBdr>
        <w:spacing w:after="80" w:before="40" w:line="276" w:lineRule="auto"/>
        <w:ind w:left="240"/>
      </w:pPr>
      <w:r>
        <w:rPr>
          <w:rFonts w:ascii="Arial" w:cs="Arial" w:eastAsia="Arial" w:hAnsi="Arial"/>
          <w:color w:val="333333"/>
          <w:sz w:val="19"/>
          <w:szCs w:val="19"/>
        </w:rPr>
        <w:t xml:space="preserve">No AI usage policy. No output review standard. Client-facing content generated by AI is leaving the business on individual consultant judgement. This is the most immediate risk. A one-page policy, a defined review step, and a clear accountability structure can be operational within 30 days. This work begins in Phase 1, not after deployment.</w:t>
      </w:r>
    </w:p>
    <w:p>
      <w:pPr>
        <w:spacing w:after="60" w:before="160"/>
      </w:pPr>
      <w:r>
        <w:rPr>
          <w:rFonts w:ascii="Arial" w:cs="Arial" w:eastAsia="Arial" w:hAnsi="Arial"/>
          <w:b/>
          <w:bCs/>
          <w:color w:val="1B2A4A"/>
          <w:sz w:val="21"/>
          <w:szCs w:val="21"/>
        </w:rPr>
        <w:t xml:space="preserve">Commercial Readiness</w:t>
      </w:r>
    </w:p>
    <w:p>
      <w:pPr>
        <w:pBdr>
          <w:left w:val="single" w:color="B8962E" w:sz="16" w:space="8"/>
        </w:pBdr>
        <w:spacing w:after="80" w:before="40" w:line="276" w:lineRule="auto"/>
        <w:ind w:left="240"/>
      </w:pPr>
      <w:r>
        <w:rPr>
          <w:rFonts w:ascii="Arial" w:cs="Arial" w:eastAsia="Arial" w:hAnsi="Arial"/>
          <w:color w:val="333333"/>
          <w:sz w:val="19"/>
          <w:szCs w:val="19"/>
        </w:rPr>
        <w:t xml:space="preserve">The commercial case is not marginal. The volume is there, the rate card is there, and the task structure makes the return fast. Deploy without governance and you create liability. Deploy without data structure and you limit the highest-value opportunity. The 90-day plan avoids both.</w:t>
      </w:r>
    </w:p>
    <w:p>
      <w:pPr>
        <w:pBdr>
          <w:top w:val="single" w:color="B8962E" w:sz="4" w:space="6"/>
          <w:bottom w:val="single" w:color="B8962E" w:sz="4" w:space="6"/>
        </w:pBdr>
        <w:spacing w:after="100" w:before="180" w:line="276" w:lineRule="auto"/>
      </w:pPr>
      <w:r>
        <w:rPr>
          <w:rFonts w:ascii="Arial" w:cs="Arial" w:eastAsia="Arial" w:hAnsi="Arial"/>
          <w:i/>
          <w:iCs/>
          <w:color w:val="1B2A4A"/>
          <w:sz w:val="19"/>
          <w:szCs w:val="19"/>
        </w:rPr>
        <w:t xml:space="preserve">Consultants are already using AI. The business is not governing it. That is the only thing standing between Meridian and Phase 1.</w:t>
      </w:r>
    </w:p>
    <w:p>
      <w:pPr>
        <w:pageBreakBefore/>
        <w:pBdr>
          <w:bottom w:val="single" w:color="B8962E" w:sz="3" w:space="4"/>
        </w:pBdr>
        <w:spacing w:after="140" w:before="0"/>
      </w:pPr>
      <w:r>
        <w:rPr>
          <w:rFonts w:ascii="Arial" w:cs="Arial" w:eastAsia="Arial" w:hAnsi="Arial"/>
          <w:b/>
          <w:bCs/>
          <w:color w:val="1B2A4A"/>
          <w:sz w:val="26"/>
          <w:szCs w:val="26"/>
        </w:rPr>
        <w:t xml:space="preserve">Opportunity Register</w:t>
      </w:r>
      <w:r>
        <w:rPr>
          <w:rFonts w:ascii="Arial" w:cs="Arial" w:eastAsia="Arial" w:hAnsi="Arial"/>
          <w:i/>
          <w:iCs/>
          <w:color w:val="B8962E"/>
          <w:sz w:val="18"/>
          <w:szCs w:val="18"/>
        </w:rPr>
        <w:t xml:space="preserve">   Sample</w:t>
      </w:r>
    </w:p>
    <w:p>
      <w:pPr>
        <w:spacing w:after="100" w:before="0" w:line="276" w:lineRule="auto"/>
      </w:pPr>
      <w:r>
        <w:rPr>
          <w:rFonts w:ascii="Arial" w:cs="Arial" w:eastAsia="Arial" w:hAnsi="Arial"/>
          <w:i w:val="false"/>
          <w:iCs w:val="false"/>
          <w:color w:val="333333"/>
          <w:sz w:val="19"/>
          <w:szCs w:val="19"/>
        </w:rPr>
        <w:t xml:space="preserve">Five opportunities, prioritised by commercial impact. Summary below. Full detail follows.</w:t>
      </w:r>
    </w:p>
    <w:p>
      <w:pPr>
        <w:spacing w:after="0" w:before="0" w:line="120" w:lineRule="exact"/>
      </w:pPr>
      <w:r>
        <w:rPr>
          <w:sz w:val="4"/>
          <w:szCs w:val="4"/>
        </w:rPr>
        <w:t xml:space="preserve"/>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2091"/>
        <w:gridCol w:w="4372"/>
        <w:gridCol w:w="3041"/>
      </w:tblGrid>
      <w:tr>
        <w:trPr>
          <w:cantSplit/>
          <w:tblHeader/>
        </w:trPr>
        <w:tc>
          <w:tcPr>
            <w:tcW w:type="dxa" w:w="2091"/>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
            </w:r>
          </w:p>
        </w:tc>
        <w:tc>
          <w:tcPr>
            <w:tcW w:type="dxa" w:w="4372"/>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Description</w:t>
            </w:r>
          </w:p>
        </w:tc>
        <w:tc>
          <w:tcPr>
            <w:tcW w:type="dxa" w:w="3041"/>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Est. Annual Value</w:t>
            </w:r>
          </w:p>
        </w:tc>
      </w:tr>
      <w:tr>
        <w:trPr>
          <w:cantSplit/>
        </w:trPr>
        <w:tc>
          <w:tcPr>
            <w:tcW w:type="dxa" w:w="209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01  Proposals</w:t>
            </w:r>
          </w:p>
        </w:tc>
        <w:tc>
          <w:tcPr>
            <w:tcW w:type="dxa" w:w="437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AI drafting: 90 min to 30 min per proposal</w:t>
            </w:r>
          </w:p>
        </w:tc>
        <w:tc>
          <w:tcPr>
            <w:tcW w:type="dxa" w:w="304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$36,720</w:t>
            </w:r>
          </w:p>
        </w:tc>
      </w:tr>
      <w:tr>
        <w:trPr>
          <w:cantSplit/>
        </w:trPr>
        <w:tc>
          <w:tcPr>
            <w:tcW w:type="dxa" w:w="209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02  Assessment Writeups</w:t>
            </w:r>
          </w:p>
        </w:tc>
        <w:tc>
          <w:tcPr>
            <w:tcW w:type="dxa" w:w="4372"/>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AI writeups: 45 min to 15 min per candidate summary</w:t>
            </w:r>
          </w:p>
        </w:tc>
        <w:tc>
          <w:tcPr>
            <w:tcW w:type="dxa" w:w="304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$183,600</w:t>
            </w:r>
          </w:p>
        </w:tc>
      </w:tr>
      <w:tr>
        <w:trPr>
          <w:cantSplit/>
        </w:trPr>
        <w:tc>
          <w:tcPr>
            <w:tcW w:type="dxa" w:w="209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03  Engagement Monitoring</w:t>
            </w:r>
          </w:p>
        </w:tc>
        <w:tc>
          <w:tcPr>
            <w:tcW w:type="dxa" w:w="437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Early warning system for at-risk placements</w:t>
            </w:r>
          </w:p>
        </w:tc>
        <w:tc>
          <w:tcPr>
            <w:tcW w:type="dxa" w:w="304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val="false"/>
                <w:bCs w:val="false"/>
                <w:color w:val="888888"/>
                <w:sz w:val="19"/>
                <w:szCs w:val="19"/>
              </w:rPr>
              <w:t xml:space="preserve">See Section 3</w:t>
            </w:r>
          </w:p>
        </w:tc>
      </w:tr>
      <w:tr>
        <w:trPr>
          <w:cantSplit/>
        </w:trPr>
        <w:tc>
          <w:tcPr>
            <w:tcW w:type="dxa" w:w="209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04  Voice Profiles</w:t>
            </w:r>
          </w:p>
        </w:tc>
        <w:tc>
          <w:tcPr>
            <w:tcW w:type="dxa" w:w="4372"/>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Consistent brand-aligned communications across 18 consultants</w:t>
            </w:r>
          </w:p>
        </w:tc>
        <w:tc>
          <w:tcPr>
            <w:tcW w:type="dxa" w:w="304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$137,700</w:t>
            </w:r>
          </w:p>
        </w:tc>
      </w:tr>
      <w:tr>
        <w:trPr>
          <w:cantSplit/>
        </w:trPr>
        <w:tc>
          <w:tcPr>
            <w:tcW w:type="dxa" w:w="209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05  Market Mapping</w:t>
            </w:r>
          </w:p>
        </w:tc>
        <w:tc>
          <w:tcPr>
            <w:tcW w:type="dxa" w:w="437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60% reduction in senior consultant BD research time</w:t>
            </w:r>
          </w:p>
        </w:tc>
        <w:tc>
          <w:tcPr>
            <w:tcW w:type="dxa" w:w="304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right"/>
            </w:pPr>
            <w:r>
              <w:rPr>
                <w:rFonts w:ascii="Arial" w:cs="Arial" w:eastAsia="Arial" w:hAnsi="Arial"/>
                <w:b/>
                <w:bCs/>
                <w:color w:val="1B2A4A"/>
                <w:sz w:val="19"/>
                <w:szCs w:val="19"/>
              </w:rPr>
              <w:t xml:space="preserve">$19,584</w:t>
            </w:r>
          </w:p>
        </w:tc>
      </w:tr>
    </w:tbl>
    <w:p>
      <w:pPr>
        <w:pBdr>
          <w:left w:val="single" w:color="B8962E" w:sz="16" w:space="8"/>
        </w:pBdr>
        <w:spacing w:after="0" w:before="100"/>
        <w:ind w:left="200"/>
      </w:pPr>
      <w:r>
        <w:rPr>
          <w:rFonts w:ascii="Arial" w:cs="Arial" w:eastAsia="Arial" w:hAnsi="Arial"/>
          <w:b/>
          <w:bCs/>
          <w:color w:val="1B2A4A"/>
          <w:sz w:val="19"/>
          <w:szCs w:val="19"/>
        </w:rPr>
        <w:t xml:space="preserve">Total directional upside</w:t>
      </w:r>
      <w:r>
        <w:t xml:space="preserve">     </w:t>
      </w:r>
      <w:r>
        <w:rPr>
          <w:rFonts w:ascii="Arial" w:cs="Arial" w:eastAsia="Arial" w:hAnsi="Arial"/>
          <w:b/>
          <w:bCs/>
          <w:color w:val="1B2A4A"/>
          <w:sz w:val="19"/>
          <w:szCs w:val="19"/>
        </w:rPr>
        <w:t xml:space="preserve">~$375,000 built from Meridian's operating data</w:t>
      </w:r>
    </w:p>
    <w:p>
      <w:pPr>
        <w:spacing w:after="0" w:before="0" w:line="160" w:lineRule="exact"/>
      </w:pPr>
      <w:r>
        <w:rPr>
          <w:sz w:val="4"/>
          <w:szCs w:val="4"/>
        </w:rPr>
        <w:t xml:space="preserve"/>
      </w:r>
    </w:p>
    <w:p>
      <w:pPr>
        <w:spacing w:after="100" w:before="0" w:line="276" w:lineRule="auto"/>
      </w:pPr>
      <w:r>
        <w:rPr>
          <w:rFonts w:ascii="Arial" w:cs="Arial" w:eastAsia="Arial" w:hAnsi="Arial"/>
          <w:i/>
          <w:iCs/>
          <w:color w:val="333333"/>
          <w:sz w:val="19"/>
          <w:szCs w:val="19"/>
        </w:rPr>
        <w:t xml:space="preserve">Value estimates are directional and built from Meridian's operating parameters. Full arithmetic below.</w:t>
      </w:r>
    </w:p>
    <w:p>
      <w:pPr>
        <w:spacing w:after="0" w:before="0" w:line="120" w:lineRule="exact"/>
      </w:pPr>
      <w:r>
        <w:rPr>
          <w:sz w:val="4"/>
          <w:szCs w:val="4"/>
        </w:rPr>
        <w:t xml:space="preserve"/>
      </w:r>
    </w:p>
    <w:p>
      <w:pPr>
        <w:pBdr>
          <w:left w:val="single" w:color="B8962E" w:sz="16" w:space="8"/>
        </w:pBdr>
        <w:spacing w:after="0" w:before="120"/>
        <w:ind w:left="200"/>
      </w:pPr>
      <w:r>
        <w:rPr>
          <w:rFonts w:ascii="Arial" w:cs="Arial" w:eastAsia="Arial" w:hAnsi="Arial"/>
          <w:b/>
          <w:bCs/>
          <w:color w:val="B8962E"/>
          <w:sz w:val="18"/>
          <w:szCs w:val="18"/>
        </w:rPr>
        <w:t xml:space="preserve">Opportunity 01</w:t>
      </w:r>
    </w:p>
    <w:p>
      <w:pPr>
        <w:pBdr>
          <w:left w:val="single" w:color="B8962E" w:sz="16" w:space="8"/>
        </w:pBdr>
        <w:spacing w:after="0" w:before="0"/>
        <w:ind w:left="200"/>
      </w:pPr>
      <w:r>
        <w:rPr>
          <w:rFonts w:ascii="Arial" w:cs="Arial" w:eastAsia="Arial" w:hAnsi="Arial"/>
          <w:b/>
          <w:bCs/>
          <w:color w:val="1B2A4A"/>
          <w:sz w:val="21"/>
          <w:szCs w:val="21"/>
        </w:rPr>
        <w:t xml:space="preserve">AI-Assisted Proposal Generation</w:t>
      </w:r>
    </w:p>
    <w:p>
      <w:pPr>
        <w:pBdr>
          <w:left w:val="single" w:color="B8962E" w:sz="16" w:space="8"/>
        </w:pBdr>
        <w:spacing w:after="60" w:before="0"/>
        <w:ind w:left="200"/>
      </w:pPr>
      <w:r>
        <w:rPr>
          <w:rFonts w:ascii="Arial" w:cs="Arial" w:eastAsia="Arial" w:hAnsi="Arial"/>
          <w:i/>
          <w:iCs/>
          <w:color w:val="888888"/>
          <w:sz w:val="17"/>
          <w:szCs w:val="17"/>
        </w:rPr>
        <w:t xml:space="preserve">AI drafting cuts proposal time from 90 minutes to 30 minutes</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b/>
                <w:bCs/>
                <w:color w:val="1B2A4A"/>
                <w:sz w:val="17"/>
                <w:szCs w:val="17"/>
              </w:rPr>
              <w:t xml:space="preserve">Dimensions: </w:t>
            </w:r>
            <w:r>
              <w:rPr>
                <w:rFonts w:ascii="Arial" w:cs="Arial" w:eastAsia="Arial" w:hAnsi="Arial"/>
                <w:color w:val="333333"/>
                <w:sz w:val="17"/>
                <w:szCs w:val="17"/>
              </w:rPr>
              <w:t xml:space="preserve">Process Readiness     </w:t>
            </w:r>
            <w:r>
              <w:rPr>
                <w:rFonts w:ascii="Arial" w:cs="Arial" w:eastAsia="Arial" w:hAnsi="Arial"/>
                <w:b/>
                <w:bCs/>
                <w:color w:val="1B2A4A"/>
                <w:sz w:val="17"/>
                <w:szCs w:val="17"/>
              </w:rPr>
              <w:t xml:space="preserve">Complexity: </w:t>
            </w:r>
            <w:r>
              <w:rPr>
                <w:rFonts w:ascii="Arial" w:cs="Arial" w:eastAsia="Arial" w:hAnsi="Arial"/>
                <w:b/>
                <w:bCs/>
                <w:color w:val="27AE60"/>
                <w:sz w:val="17"/>
                <w:szCs w:val="17"/>
              </w:rPr>
              <w:t xml:space="preserve">Low     </w:t>
            </w:r>
          </w:p>
        </w:tc>
      </w:tr>
    </w:tbl>
    <w:p>
      <w:pPr>
        <w:spacing w:after="40" w:before="100"/>
      </w:pPr>
      <w:r>
        <w:rPr>
          <w:rFonts w:ascii="Arial" w:cs="Arial" w:eastAsia="Arial" w:hAnsi="Arial"/>
          <w:b/>
          <w:bCs/>
          <w:color w:val="1B2A4A"/>
          <w:sz w:val="17"/>
          <w:szCs w:val="17"/>
        </w:rPr>
        <w:t xml:space="preserve">Current state</w:t>
      </w:r>
    </w:p>
    <w:p>
      <w:pPr>
        <w:spacing w:after="100" w:before="0" w:line="276" w:lineRule="auto"/>
      </w:pPr>
      <w:r>
        <w:rPr>
          <w:rFonts w:ascii="Arial" w:cs="Arial" w:eastAsia="Arial" w:hAnsi="Arial"/>
          <w:color w:val="333333"/>
          <w:sz w:val="19"/>
          <w:szCs w:val="19"/>
        </w:rPr>
        <w:t xml:space="preserve">Consultants write client proposals manually. Each takes approximately 90 minutes. At 0.5 proposals per consultant per week, the team produces 9 per week. Proposals follow a consistent structure: role summary, client context, key requirements, commercial terms. The structural consistency of the format is precisely what makes AI-assisted drafting effective here. Time savings begin from day one of deployment.</w:t>
      </w:r>
    </w:p>
    <w:p>
      <w:pPr>
        <w:spacing w:after="40" w:before="0"/>
      </w:pPr>
      <w:r>
        <w:rPr>
          <w:rFonts w:ascii="Arial" w:cs="Arial" w:eastAsia="Arial" w:hAnsi="Arial"/>
          <w:b/>
          <w:bCs/>
          <w:color w:val="1B2A4A"/>
          <w:sz w:val="17"/>
          <w:szCs w:val="17"/>
        </w:rPr>
        <w:t xml:space="preserve">Proposed application</w:t>
      </w:r>
    </w:p>
    <w:p>
      <w:pPr>
        <w:spacing w:after="100" w:before="0" w:line="276" w:lineRule="auto"/>
      </w:pPr>
      <w:r>
        <w:rPr>
          <w:rFonts w:ascii="Arial" w:cs="Arial" w:eastAsia="Arial" w:hAnsi="Arial"/>
          <w:color w:val="333333"/>
          <w:sz w:val="19"/>
          <w:szCs w:val="19"/>
        </w:rPr>
        <w:t xml:space="preserve">Consultant inputs role, client context, and key requirements into a structured brief. The system generates a complete draft. Consultant reviews, refines where needed, and sends. Target time: 30 minutes per proposal. No JobAdder integration required in initial deployment. Prompt framework is built once and used by the full team. Operational within 30 days.</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80"/>
              <w:left w:type="dxa" w:w="160"/>
              <w:bottom w:type="dxa" w:w="80"/>
              <w:right w:type="dxa" w:w="160"/>
            </w:tcMar>
          </w:tcPr>
          <w:p>
            <w:pPr>
              <w:spacing w:after="60"/>
            </w:pPr>
            <w:r>
              <w:rPr>
                <w:rFonts w:ascii="Arial" w:cs="Arial" w:eastAsia="Arial" w:hAnsi="Arial"/>
                <w:b/>
                <w:bCs/>
                <w:color w:val="1B2A4A"/>
                <w:sz w:val="17"/>
                <w:szCs w:val="17"/>
              </w:rPr>
              <w:t xml:space="preserve">Value calculation</w:t>
            </w:r>
          </w:p>
          <w:p>
            <w:pPr>
              <w:spacing w:after="16" w:before="16" w:line="248" w:lineRule="auto"/>
            </w:pPr>
            <w:r>
              <w:rPr>
                <w:rFonts w:ascii="Arial" w:cs="Arial" w:eastAsia="Arial" w:hAnsi="Arial"/>
                <w:b w:val="false"/>
                <w:bCs w:val="false"/>
                <w:color w:val="333333"/>
                <w:sz w:val="17"/>
                <w:szCs w:val="17"/>
              </w:rPr>
              <w:t xml:space="preserve">9 proposals per week</w:t>
            </w:r>
          </w:p>
          <w:p>
            <w:pPr>
              <w:spacing w:after="16" w:before="16" w:line="248" w:lineRule="auto"/>
            </w:pPr>
            <w:r>
              <w:rPr>
                <w:rFonts w:ascii="Arial" w:cs="Arial" w:eastAsia="Arial" w:hAnsi="Arial"/>
                <w:b w:val="false"/>
                <w:bCs w:val="false"/>
                <w:color w:val="333333"/>
                <w:sz w:val="17"/>
                <w:szCs w:val="17"/>
              </w:rPr>
              <w:t xml:space="preserve">60 minutes saved per proposal</w:t>
            </w:r>
          </w:p>
          <w:p>
            <w:pPr>
              <w:spacing w:after="16" w:before="16" w:line="248" w:lineRule="auto"/>
            </w:pPr>
            <w:r>
              <w:rPr>
                <w:rFonts w:ascii="Arial" w:cs="Arial" w:eastAsia="Arial" w:hAnsi="Arial"/>
                <w:b w:val="false"/>
                <w:bCs w:val="false"/>
                <w:color w:val="333333"/>
                <w:sz w:val="17"/>
                <w:szCs w:val="17"/>
              </w:rPr>
              <w:t xml:space="preserve">$85/hr fully loaded consultant rate</w:t>
            </w:r>
          </w:p>
          <w:p>
            <w:pPr>
              <w:spacing w:after="16" w:before="16" w:line="248" w:lineRule="auto"/>
            </w:pPr>
            <w:r>
              <w:rPr>
                <w:rFonts w:ascii="Arial" w:cs="Arial" w:eastAsia="Arial" w:hAnsi="Arial"/>
                <w:b w:val="false"/>
                <w:bCs w:val="false"/>
                <w:color w:val="333333"/>
                <w:sz w:val="17"/>
                <w:szCs w:val="17"/>
              </w:rPr>
              <w:t xml:space="preserve">48 working weeks</w:t>
            </w:r>
          </w:p>
          <w:p>
            <w:pPr>
              <w:spacing w:after="0" w:before="40"/>
            </w:pPr>
            <w:r>
              <w:rPr>
                <w:sz w:val="4"/>
                <w:szCs w:val="4"/>
              </w:rPr>
              <w:t xml:space="preserve"/>
            </w:r>
          </w:p>
          <w:p>
            <w:pPr>
              <w:spacing w:after="16" w:before="16" w:line="248" w:lineRule="auto"/>
            </w:pPr>
            <w:r>
              <w:rPr>
                <w:rFonts w:ascii="Arial" w:cs="Arial" w:eastAsia="Arial" w:hAnsi="Arial"/>
                <w:b/>
                <w:bCs/>
                <w:color w:val="1B2A4A"/>
                <w:sz w:val="19"/>
                <w:szCs w:val="19"/>
              </w:rPr>
              <w:t xml:space="preserve">= 9 x 1.0 hr x $85 x 48</w:t>
            </w:r>
          </w:p>
          <w:p>
            <w:pPr>
              <w:spacing w:after="16" w:before="16" w:line="248" w:lineRule="auto"/>
            </w:pPr>
            <w:r>
              <w:rPr>
                <w:rFonts w:ascii="Arial" w:cs="Arial" w:eastAsia="Arial" w:hAnsi="Arial"/>
                <w:b/>
                <w:bCs/>
                <w:color w:val="1B2A4A"/>
                <w:sz w:val="19"/>
                <w:szCs w:val="19"/>
              </w:rPr>
              <w:t xml:space="preserve">= $36,720 per annum (directional)</w:t>
            </w:r>
          </w:p>
          <w:p>
            <w:pPr>
              <w:spacing w:after="0" w:before="40"/>
            </w:pPr>
            <w:r>
              <w:rPr>
                <w:sz w:val="4"/>
                <w:szCs w:val="4"/>
              </w:rPr>
              <w:t xml:space="preserve"/>
            </w:r>
          </w:p>
          <w:p>
            <w:pPr>
              <w:spacing w:after="16" w:before="16" w:line="248" w:lineRule="auto"/>
            </w:pPr>
            <w:r>
              <w:rPr>
                <w:rFonts w:ascii="Arial" w:cs="Arial" w:eastAsia="Arial" w:hAnsi="Arial"/>
                <w:b w:val="false"/>
                <w:bCs w:val="false"/>
                <w:color w:val="333333"/>
                <w:sz w:val="17"/>
                <w:szCs w:val="17"/>
              </w:rPr>
              <w:t xml:space="preserve">Note: 0.5 proposals per consultant per week</w:t>
            </w:r>
          </w:p>
          <w:p>
            <w:pPr>
              <w:spacing w:after="16" w:before="16" w:line="248" w:lineRule="auto"/>
            </w:pPr>
            <w:r>
              <w:rPr>
                <w:rFonts w:ascii="Arial" w:cs="Arial" w:eastAsia="Arial" w:hAnsi="Arial"/>
                <w:b w:val="false"/>
                <w:bCs w:val="false"/>
                <w:color w:val="333333"/>
                <w:sz w:val="17"/>
                <w:szCs w:val="17"/>
              </w:rPr>
              <w:t xml:space="preserve">is a conservative floor. Teams running</w:t>
            </w:r>
          </w:p>
          <w:p>
            <w:pPr>
              <w:spacing w:after="16" w:before="16" w:line="248" w:lineRule="auto"/>
            </w:pPr>
            <w:r>
              <w:rPr>
                <w:rFonts w:ascii="Arial" w:cs="Arial" w:eastAsia="Arial" w:hAnsi="Arial"/>
                <w:b w:val="false"/>
                <w:bCs w:val="false"/>
                <w:color w:val="333333"/>
                <w:sz w:val="17"/>
                <w:szCs w:val="17"/>
              </w:rPr>
              <w:t xml:space="preserve">active BD programs typically exceed this.</w:t>
            </w:r>
          </w:p>
        </w:tc>
      </w:tr>
    </w:tbl>
    <w:p>
      <w:pPr>
        <w:spacing w:after="0" w:before="0" w:line="160" w:lineRule="exact"/>
      </w:pPr>
      <w:r>
        <w:rPr>
          <w:sz w:val="4"/>
          <w:szCs w:val="4"/>
        </w:rPr>
        <w:t xml:space="preserve"/>
      </w:r>
    </w:p>
    <w:p>
      <w:pPr>
        <w:pBdr>
          <w:left w:val="single" w:color="B8962E" w:sz="16" w:space="8"/>
        </w:pBdr>
        <w:spacing w:after="0" w:before="120"/>
        <w:ind w:left="200"/>
      </w:pPr>
      <w:r>
        <w:rPr>
          <w:rFonts w:ascii="Arial" w:cs="Arial" w:eastAsia="Arial" w:hAnsi="Arial"/>
          <w:b/>
          <w:bCs/>
          <w:color w:val="B8962E"/>
          <w:sz w:val="18"/>
          <w:szCs w:val="18"/>
        </w:rPr>
        <w:t xml:space="preserve">Opportunity 02</w:t>
      </w:r>
    </w:p>
    <w:p>
      <w:pPr>
        <w:pBdr>
          <w:left w:val="single" w:color="B8962E" w:sz="16" w:space="8"/>
        </w:pBdr>
        <w:spacing w:after="0" w:before="0"/>
        <w:ind w:left="200"/>
      </w:pPr>
      <w:r>
        <w:rPr>
          <w:rFonts w:ascii="Arial" w:cs="Arial" w:eastAsia="Arial" w:hAnsi="Arial"/>
          <w:b/>
          <w:bCs/>
          <w:color w:val="1B2A4A"/>
          <w:sz w:val="21"/>
          <w:szCs w:val="21"/>
        </w:rPr>
        <w:t xml:space="preserve">Automated Candidate Assessment Writeups</w:t>
      </w:r>
    </w:p>
    <w:p>
      <w:pPr>
        <w:pBdr>
          <w:left w:val="single" w:color="B8962E" w:sz="16" w:space="8"/>
        </w:pBdr>
        <w:spacing w:after="60" w:before="0"/>
        <w:ind w:left="200"/>
      </w:pPr>
      <w:r>
        <w:rPr>
          <w:rFonts w:ascii="Arial" w:cs="Arial" w:eastAsia="Arial" w:hAnsi="Arial"/>
          <w:i/>
          <w:iCs/>
          <w:color w:val="888888"/>
          <w:sz w:val="17"/>
          <w:szCs w:val="17"/>
        </w:rPr>
        <w:t xml:space="preserve">AI generation cuts writeup time from 45 minutes to 15 minutes per candidate</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b/>
                <w:bCs/>
                <w:color w:val="1B2A4A"/>
                <w:sz w:val="17"/>
                <w:szCs w:val="17"/>
              </w:rPr>
              <w:t xml:space="preserve">Dimensions: </w:t>
            </w:r>
            <w:r>
              <w:rPr>
                <w:rFonts w:ascii="Arial" w:cs="Arial" w:eastAsia="Arial" w:hAnsi="Arial"/>
                <w:color w:val="333333"/>
                <w:sz w:val="17"/>
                <w:szCs w:val="17"/>
              </w:rPr>
              <w:t xml:space="preserve">Process Readiness     </w:t>
            </w:r>
            <w:r>
              <w:rPr>
                <w:rFonts w:ascii="Arial" w:cs="Arial" w:eastAsia="Arial" w:hAnsi="Arial"/>
                <w:b/>
                <w:bCs/>
                <w:color w:val="1B2A4A"/>
                <w:sz w:val="17"/>
                <w:szCs w:val="17"/>
              </w:rPr>
              <w:t xml:space="preserve">Complexity: </w:t>
            </w:r>
            <w:r>
              <w:rPr>
                <w:rFonts w:ascii="Arial" w:cs="Arial" w:eastAsia="Arial" w:hAnsi="Arial"/>
                <w:b/>
                <w:bCs/>
                <w:color w:val="27AE60"/>
                <w:sz w:val="17"/>
                <w:szCs w:val="17"/>
              </w:rPr>
              <w:t xml:space="preserve">Low     </w:t>
            </w:r>
          </w:p>
        </w:tc>
      </w:tr>
    </w:tbl>
    <w:p>
      <w:pPr>
        <w:spacing w:after="40" w:before="100"/>
      </w:pPr>
      <w:r>
        <w:rPr>
          <w:rFonts w:ascii="Arial" w:cs="Arial" w:eastAsia="Arial" w:hAnsi="Arial"/>
          <w:b/>
          <w:bCs/>
          <w:color w:val="1B2A4A"/>
          <w:sz w:val="17"/>
          <w:szCs w:val="17"/>
        </w:rPr>
        <w:t xml:space="preserve">Current state</w:t>
      </w:r>
    </w:p>
    <w:p>
      <w:pPr>
        <w:spacing w:after="100" w:before="0" w:line="276" w:lineRule="auto"/>
      </w:pPr>
      <w:r>
        <w:rPr>
          <w:rFonts w:ascii="Arial" w:cs="Arial" w:eastAsia="Arial" w:hAnsi="Arial"/>
          <w:color w:val="333333"/>
          <w:sz w:val="19"/>
          <w:szCs w:val="19"/>
        </w:rPr>
        <w:t xml:space="preserve">Consultants write candidate assessment summaries manually after each interview. Average time: 45 minutes per writeup. At 5 writeups per consultant per week across 18 consultants, the team produces 90 per week. This is the highest-volume, highest-frequency manual task in the business. Unlike proposals, it recurs on every placement for every consultant. The compounding effect on total consultant hours is significant.</w:t>
      </w:r>
    </w:p>
    <w:p>
      <w:pPr>
        <w:spacing w:after="40" w:before="0"/>
      </w:pPr>
      <w:r>
        <w:rPr>
          <w:rFonts w:ascii="Arial" w:cs="Arial" w:eastAsia="Arial" w:hAnsi="Arial"/>
          <w:b/>
          <w:bCs/>
          <w:color w:val="1B2A4A"/>
          <w:sz w:val="17"/>
          <w:szCs w:val="17"/>
        </w:rPr>
        <w:t xml:space="preserve">Proposed application</w:t>
      </w:r>
    </w:p>
    <w:p>
      <w:pPr>
        <w:spacing w:after="100" w:before="0" w:line="276" w:lineRule="auto"/>
      </w:pPr>
      <w:r>
        <w:rPr>
          <w:rFonts w:ascii="Arial" w:cs="Arial" w:eastAsia="Arial" w:hAnsi="Arial"/>
          <w:color w:val="333333"/>
          <w:sz w:val="19"/>
          <w:szCs w:val="19"/>
        </w:rPr>
        <w:t xml:space="preserve">Consultant provides interview notes or completes a structured input form. The system generates the full writeup. Consultant reviews and approves before the document is used. Target: 15 minutes per writeup. No JobAdder integration required. Prompt framework built once, used by the full team from day one. Operational within 30 days. This is Priority 1: highest volume, fastest to deploy, largest annualised return.</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80"/>
              <w:left w:type="dxa" w:w="160"/>
              <w:bottom w:type="dxa" w:w="80"/>
              <w:right w:type="dxa" w:w="160"/>
            </w:tcMar>
          </w:tcPr>
          <w:p>
            <w:pPr>
              <w:spacing w:after="60"/>
            </w:pPr>
            <w:r>
              <w:rPr>
                <w:rFonts w:ascii="Arial" w:cs="Arial" w:eastAsia="Arial" w:hAnsi="Arial"/>
                <w:b/>
                <w:bCs/>
                <w:color w:val="1B2A4A"/>
                <w:sz w:val="17"/>
                <w:szCs w:val="17"/>
              </w:rPr>
              <w:t xml:space="preserve">Value calculation</w:t>
            </w:r>
          </w:p>
          <w:p>
            <w:pPr>
              <w:spacing w:after="16" w:before="16" w:line="248" w:lineRule="auto"/>
            </w:pPr>
            <w:r>
              <w:rPr>
                <w:rFonts w:ascii="Arial" w:cs="Arial" w:eastAsia="Arial" w:hAnsi="Arial"/>
                <w:b w:val="false"/>
                <w:bCs w:val="false"/>
                <w:color w:val="333333"/>
                <w:sz w:val="17"/>
                <w:szCs w:val="17"/>
              </w:rPr>
              <w:t xml:space="preserve">18 consultants x 5 writeups per week = 90 per week</w:t>
            </w:r>
          </w:p>
          <w:p>
            <w:pPr>
              <w:spacing w:after="16" w:before="16" w:line="248" w:lineRule="auto"/>
            </w:pPr>
            <w:r>
              <w:rPr>
                <w:rFonts w:ascii="Arial" w:cs="Arial" w:eastAsia="Arial" w:hAnsi="Arial"/>
                <w:b w:val="false"/>
                <w:bCs w:val="false"/>
                <w:color w:val="333333"/>
                <w:sz w:val="17"/>
                <w:szCs w:val="17"/>
              </w:rPr>
              <w:t xml:space="preserve">30 minutes saved per writeup</w:t>
            </w:r>
          </w:p>
          <w:p>
            <w:pPr>
              <w:spacing w:after="16" w:before="16" w:line="248" w:lineRule="auto"/>
            </w:pPr>
            <w:r>
              <w:rPr>
                <w:rFonts w:ascii="Arial" w:cs="Arial" w:eastAsia="Arial" w:hAnsi="Arial"/>
                <w:b w:val="false"/>
                <w:bCs w:val="false"/>
                <w:color w:val="333333"/>
                <w:sz w:val="17"/>
                <w:szCs w:val="17"/>
              </w:rPr>
              <w:t xml:space="preserve">$85/hr fully loaded consultant rate</w:t>
            </w:r>
          </w:p>
          <w:p>
            <w:pPr>
              <w:spacing w:after="16" w:before="16" w:line="248" w:lineRule="auto"/>
            </w:pPr>
            <w:r>
              <w:rPr>
                <w:rFonts w:ascii="Arial" w:cs="Arial" w:eastAsia="Arial" w:hAnsi="Arial"/>
                <w:b w:val="false"/>
                <w:bCs w:val="false"/>
                <w:color w:val="333333"/>
                <w:sz w:val="17"/>
                <w:szCs w:val="17"/>
              </w:rPr>
              <w:t xml:space="preserve">48 working weeks</w:t>
            </w:r>
          </w:p>
          <w:p>
            <w:pPr>
              <w:spacing w:after="0" w:before="40"/>
            </w:pPr>
            <w:r>
              <w:rPr>
                <w:sz w:val="4"/>
                <w:szCs w:val="4"/>
              </w:rPr>
              <w:t xml:space="preserve"/>
            </w:r>
          </w:p>
          <w:p>
            <w:pPr>
              <w:spacing w:after="16" w:before="16" w:line="248" w:lineRule="auto"/>
            </w:pPr>
            <w:r>
              <w:rPr>
                <w:rFonts w:ascii="Arial" w:cs="Arial" w:eastAsia="Arial" w:hAnsi="Arial"/>
                <w:b/>
                <w:bCs/>
                <w:color w:val="1B2A4A"/>
                <w:sz w:val="19"/>
                <w:szCs w:val="19"/>
              </w:rPr>
              <w:t xml:space="preserve">= 90 x 0.5 hr x $85 x 48</w:t>
            </w:r>
          </w:p>
          <w:p>
            <w:pPr>
              <w:spacing w:after="16" w:before="16" w:line="248" w:lineRule="auto"/>
            </w:pPr>
            <w:r>
              <w:rPr>
                <w:rFonts w:ascii="Arial" w:cs="Arial" w:eastAsia="Arial" w:hAnsi="Arial"/>
                <w:b/>
                <w:bCs/>
                <w:color w:val="1B2A4A"/>
                <w:sz w:val="19"/>
                <w:szCs w:val="19"/>
              </w:rPr>
              <w:t xml:space="preserve">= $183,600 per annum (directional)</w:t>
            </w:r>
          </w:p>
          <w:p>
            <w:pPr>
              <w:spacing w:after="0" w:before="40"/>
            </w:pPr>
            <w:r>
              <w:rPr>
                <w:sz w:val="4"/>
                <w:szCs w:val="4"/>
              </w:rPr>
              <w:t xml:space="preserve"/>
            </w:r>
          </w:p>
          <w:p>
            <w:pPr>
              <w:spacing w:after="16" w:before="16" w:line="248" w:lineRule="auto"/>
            </w:pPr>
            <w:r>
              <w:rPr>
                <w:rFonts w:ascii="Arial" w:cs="Arial" w:eastAsia="Arial" w:hAnsi="Arial"/>
                <w:b w:val="false"/>
                <w:bCs w:val="false"/>
                <w:color w:val="333333"/>
                <w:sz w:val="17"/>
                <w:szCs w:val="17"/>
              </w:rPr>
              <w:t xml:space="preserve">Note: 5 writeups per consultant per week</w:t>
            </w:r>
          </w:p>
          <w:p>
            <w:pPr>
              <w:spacing w:after="16" w:before="16" w:line="248" w:lineRule="auto"/>
            </w:pPr>
            <w:r>
              <w:rPr>
                <w:rFonts w:ascii="Arial" w:cs="Arial" w:eastAsia="Arial" w:hAnsi="Arial"/>
                <w:b w:val="false"/>
                <w:bCs w:val="false"/>
                <w:color w:val="333333"/>
                <w:sz w:val="17"/>
                <w:szCs w:val="17"/>
              </w:rPr>
              <w:t xml:space="preserve">represents a mid-range estimate for a</w:t>
            </w:r>
          </w:p>
          <w:p>
            <w:pPr>
              <w:spacing w:after="16" w:before="16" w:line="248" w:lineRule="auto"/>
            </w:pPr>
            <w:r>
              <w:rPr>
                <w:rFonts w:ascii="Arial" w:cs="Arial" w:eastAsia="Arial" w:hAnsi="Arial"/>
                <w:b w:val="false"/>
                <w:bCs w:val="false"/>
                <w:color w:val="333333"/>
                <w:sz w:val="17"/>
                <w:szCs w:val="17"/>
              </w:rPr>
              <w:t xml:space="preserve">consultant carrying 3 to 4 active roles.</w:t>
            </w:r>
          </w:p>
        </w:tc>
      </w:tr>
    </w:tbl>
    <w:p>
      <w:pPr>
        <w:pBdr>
          <w:left w:val="single" w:color="B8962E" w:sz="16" w:space="8"/>
        </w:pBdr>
        <w:spacing w:after="0" w:before="120"/>
        <w:ind w:left="200"/>
      </w:pPr>
      <w:r>
        <w:rPr>
          <w:rFonts w:ascii="Arial" w:cs="Arial" w:eastAsia="Arial" w:hAnsi="Arial"/>
          <w:b/>
          <w:bCs/>
          <w:color w:val="B8962E"/>
          <w:sz w:val="18"/>
          <w:szCs w:val="18"/>
        </w:rPr>
        <w:t xml:space="preserve">Opportunity 03</w:t>
      </w:r>
    </w:p>
    <w:p>
      <w:pPr>
        <w:pBdr>
          <w:left w:val="single" w:color="B8962E" w:sz="16" w:space="8"/>
        </w:pBdr>
        <w:spacing w:after="0" w:before="0"/>
        <w:ind w:left="200"/>
      </w:pPr>
      <w:r>
        <w:rPr>
          <w:rFonts w:ascii="Arial" w:cs="Arial" w:eastAsia="Arial" w:hAnsi="Arial"/>
          <w:b/>
          <w:bCs/>
          <w:color w:val="1B2A4A"/>
          <w:sz w:val="21"/>
          <w:szCs w:val="21"/>
        </w:rPr>
        <w:t xml:space="preserve">AI-Powered Client Engagement Monitoring</w:t>
      </w:r>
    </w:p>
    <w:p>
      <w:pPr>
        <w:pBdr>
          <w:left w:val="single" w:color="B8962E" w:sz="16" w:space="8"/>
        </w:pBdr>
        <w:spacing w:after="60" w:before="0"/>
        <w:ind w:left="200"/>
      </w:pPr>
      <w:r>
        <w:rPr>
          <w:rFonts w:ascii="Arial" w:cs="Arial" w:eastAsia="Arial" w:hAnsi="Arial"/>
          <w:i/>
          <w:iCs/>
          <w:color w:val="888888"/>
          <w:sz w:val="17"/>
          <w:szCs w:val="17"/>
        </w:rPr>
        <w:t xml:space="preserve">Early warning system surfaces at-risk placements before revenue is lost</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b/>
                <w:bCs/>
                <w:color w:val="1B2A4A"/>
                <w:sz w:val="17"/>
                <w:szCs w:val="17"/>
              </w:rPr>
              <w:t xml:space="preserve">Dimensions: </w:t>
            </w:r>
            <w:r>
              <w:rPr>
                <w:rFonts w:ascii="Arial" w:cs="Arial" w:eastAsia="Arial" w:hAnsi="Arial"/>
                <w:color w:val="333333"/>
                <w:sz w:val="17"/>
                <w:szCs w:val="17"/>
              </w:rPr>
              <w:t xml:space="preserve">Data Readiness, Commercial Readiness     </w:t>
            </w:r>
            <w:r>
              <w:rPr>
                <w:rFonts w:ascii="Arial" w:cs="Arial" w:eastAsia="Arial" w:hAnsi="Arial"/>
                <w:b/>
                <w:bCs/>
                <w:color w:val="1B2A4A"/>
                <w:sz w:val="17"/>
                <w:szCs w:val="17"/>
              </w:rPr>
              <w:t xml:space="preserve">Complexity: </w:t>
            </w:r>
            <w:r>
              <w:rPr>
                <w:rFonts w:ascii="Arial" w:cs="Arial" w:eastAsia="Arial" w:hAnsi="Arial"/>
                <w:b/>
                <w:bCs/>
                <w:color w:val="C0392B"/>
                <w:sz w:val="17"/>
                <w:szCs w:val="17"/>
              </w:rPr>
              <w:t xml:space="preserve">High     </w:t>
            </w:r>
          </w:p>
        </w:tc>
      </w:tr>
    </w:tbl>
    <w:p>
      <w:pPr>
        <w:spacing w:after="40" w:before="100"/>
      </w:pPr>
      <w:r>
        <w:rPr>
          <w:rFonts w:ascii="Arial" w:cs="Arial" w:eastAsia="Arial" w:hAnsi="Arial"/>
          <w:b/>
          <w:bCs/>
          <w:color w:val="1B2A4A"/>
          <w:sz w:val="17"/>
          <w:szCs w:val="17"/>
        </w:rPr>
        <w:t xml:space="preserve">Current state</w:t>
      </w:r>
    </w:p>
    <w:p>
      <w:pPr>
        <w:spacing w:after="100" w:before="0" w:line="276" w:lineRule="auto"/>
      </w:pPr>
      <w:r>
        <w:rPr>
          <w:rFonts w:ascii="Arial" w:cs="Arial" w:eastAsia="Arial" w:hAnsi="Arial"/>
          <w:color w:val="333333"/>
          <w:sz w:val="19"/>
          <w:szCs w:val="19"/>
        </w:rPr>
        <w:t xml:space="preserve">Client engagement is managed manually across the team. No early warning system exists for placements at risk of delay or withdrawal. Consultants rely on experience and relationship instinct to identify deteriorating client situations. By the time a withdrawal is confirmed, the revenue is already gone. There is no mechanism to intervene before the commercial event occurs.</w:t>
      </w:r>
    </w:p>
    <w:p>
      <w:pPr>
        <w:spacing w:after="40" w:before="0"/>
      </w:pPr>
      <w:r>
        <w:rPr>
          <w:rFonts w:ascii="Arial" w:cs="Arial" w:eastAsia="Arial" w:hAnsi="Arial"/>
          <w:b/>
          <w:bCs/>
          <w:color w:val="1B2A4A"/>
          <w:sz w:val="17"/>
          <w:szCs w:val="17"/>
        </w:rPr>
        <w:t xml:space="preserve">Proposed application</w:t>
      </w:r>
    </w:p>
    <w:p>
      <w:pPr>
        <w:spacing w:after="100" w:before="0" w:line="276" w:lineRule="auto"/>
      </w:pPr>
      <w:r>
        <w:rPr>
          <w:rFonts w:ascii="Arial" w:cs="Arial" w:eastAsia="Arial" w:hAnsi="Arial"/>
          <w:color w:val="333333"/>
          <w:sz w:val="19"/>
          <w:szCs w:val="19"/>
        </w:rPr>
        <w:t xml:space="preserve">An AI monitoring layer applied over JobAdder data. The system identifies patterns historically associated with client disengagement: response time deterioration, stage stalling, drop-off in communication frequency. It surfaces at-risk placements to the responsible consultant before the revenue event, creating an intervention window that does not currently exist. Requires JobAdder API access and a data structuring sprint prior to deployment. Phase 3 priority.</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80"/>
              <w:left w:type="dxa" w:w="160"/>
              <w:bottom w:type="dxa" w:w="80"/>
              <w:right w:type="dxa" w:w="160"/>
            </w:tcMar>
          </w:tcPr>
          <w:p>
            <w:pPr>
              <w:spacing w:after="60"/>
            </w:pPr>
            <w:r>
              <w:rPr>
                <w:rFonts w:ascii="Arial" w:cs="Arial" w:eastAsia="Arial" w:hAnsi="Arial"/>
                <w:b/>
                <w:bCs/>
                <w:color w:val="1B2A4A"/>
                <w:sz w:val="17"/>
                <w:szCs w:val="17"/>
              </w:rPr>
              <w:t xml:space="preserve">Value calculation</w:t>
            </w:r>
          </w:p>
          <w:p>
            <w:pPr>
              <w:spacing w:after="16" w:before="16" w:line="248" w:lineRule="auto"/>
            </w:pPr>
            <w:r>
              <w:rPr>
                <w:rFonts w:ascii="Arial" w:cs="Arial" w:eastAsia="Arial" w:hAnsi="Arial"/>
                <w:b w:val="false"/>
                <w:bCs w:val="false"/>
                <w:color w:val="333333"/>
                <w:sz w:val="17"/>
                <w:szCs w:val="17"/>
              </w:rPr>
              <w:t xml:space="preserve">Conservative assumption: 2 placements per month</w:t>
            </w:r>
          </w:p>
          <w:p>
            <w:pPr>
              <w:spacing w:after="16" w:before="16" w:line="248" w:lineRule="auto"/>
            </w:pPr>
            <w:r>
              <w:rPr>
                <w:rFonts w:ascii="Arial" w:cs="Arial" w:eastAsia="Arial" w:hAnsi="Arial"/>
                <w:b w:val="false"/>
                <w:bCs w:val="false"/>
                <w:color w:val="333333"/>
                <w:sz w:val="17"/>
                <w:szCs w:val="17"/>
              </w:rPr>
              <w:t xml:space="preserve">protected from withdrawal or delay</w:t>
            </w:r>
          </w:p>
          <w:p>
            <w:pPr>
              <w:spacing w:after="16" w:before="16" w:line="248" w:lineRule="auto"/>
            </w:pPr>
            <w:r>
              <w:rPr>
                <w:rFonts w:ascii="Arial" w:cs="Arial" w:eastAsia="Arial" w:hAnsi="Arial"/>
                <w:b w:val="false"/>
                <w:bCs w:val="false"/>
                <w:color w:val="333333"/>
                <w:sz w:val="17"/>
                <w:szCs w:val="17"/>
              </w:rPr>
              <w:t xml:space="preserve">$8,500 average placement fee</w:t>
            </w:r>
          </w:p>
          <w:p>
            <w:pPr>
              <w:spacing w:after="0" w:before="40"/>
            </w:pPr>
            <w:r>
              <w:rPr>
                <w:sz w:val="4"/>
                <w:szCs w:val="4"/>
              </w:rPr>
              <w:t xml:space="preserve"/>
            </w:r>
          </w:p>
          <w:p>
            <w:pPr>
              <w:spacing w:after="16" w:before="16" w:line="248" w:lineRule="auto"/>
            </w:pPr>
            <w:r>
              <w:rPr>
                <w:rFonts w:ascii="Arial" w:cs="Arial" w:eastAsia="Arial" w:hAnsi="Arial"/>
                <w:b/>
                <w:bCs/>
                <w:color w:val="1B2A4A"/>
                <w:sz w:val="19"/>
                <w:szCs w:val="19"/>
              </w:rPr>
              <w:t xml:space="preserve">= 2 x $8,500 x 12 months</w:t>
            </w:r>
          </w:p>
          <w:p>
            <w:pPr>
              <w:spacing w:after="16" w:before="16" w:line="248" w:lineRule="auto"/>
            </w:pPr>
            <w:r>
              <w:rPr>
                <w:rFonts w:ascii="Arial" w:cs="Arial" w:eastAsia="Arial" w:hAnsi="Arial"/>
                <w:b/>
                <w:bCs/>
                <w:color w:val="1B2A4A"/>
                <w:sz w:val="19"/>
                <w:szCs w:val="19"/>
              </w:rPr>
              <w:t xml:space="preserve">= $204,000 revenue protected per annum</w:t>
            </w:r>
          </w:p>
          <w:p>
            <w:pPr>
              <w:spacing w:after="0" w:before="40"/>
            </w:pPr>
            <w:r>
              <w:rPr>
                <w:sz w:val="4"/>
                <w:szCs w:val="4"/>
              </w:rPr>
              <w:t xml:space="preserve"/>
            </w:r>
          </w:p>
          <w:p>
            <w:pPr>
              <w:spacing w:after="16" w:before="16" w:line="248" w:lineRule="auto"/>
            </w:pPr>
            <w:r>
              <w:rPr>
                <w:rFonts w:ascii="Arial" w:cs="Arial" w:eastAsia="Arial" w:hAnsi="Arial"/>
                <w:b w:val="false"/>
                <w:bCs w:val="false"/>
                <w:color w:val="333333"/>
                <w:sz w:val="17"/>
                <w:szCs w:val="17"/>
              </w:rPr>
              <w:t xml:space="preserve">This opportunity represents revenue</w:t>
            </w:r>
          </w:p>
          <w:p>
            <w:pPr>
              <w:spacing w:after="16" w:before="16" w:line="248" w:lineRule="auto"/>
            </w:pPr>
            <w:r>
              <w:rPr>
                <w:rFonts w:ascii="Arial" w:cs="Arial" w:eastAsia="Arial" w:hAnsi="Arial"/>
                <w:b w:val="false"/>
                <w:bCs w:val="false"/>
                <w:color w:val="333333"/>
                <w:sz w:val="17"/>
                <w:szCs w:val="17"/>
              </w:rPr>
              <w:t xml:space="preserve">protection, not cost reduction.</w:t>
            </w:r>
          </w:p>
          <w:p>
            <w:pPr>
              <w:spacing w:after="16" w:before="16" w:line="248" w:lineRule="auto"/>
            </w:pPr>
            <w:r>
              <w:rPr>
                <w:rFonts w:ascii="Arial" w:cs="Arial" w:eastAsia="Arial" w:hAnsi="Arial"/>
                <w:b w:val="false"/>
                <w:bCs w:val="false"/>
                <w:color w:val="333333"/>
                <w:sz w:val="17"/>
                <w:szCs w:val="17"/>
              </w:rPr>
              <w:t xml:space="preserve">It is excluded from the $375,000</w:t>
            </w:r>
          </w:p>
          <w:p>
            <w:pPr>
              <w:spacing w:after="16" w:before="16" w:line="248" w:lineRule="auto"/>
            </w:pPr>
            <w:r>
              <w:rPr>
                <w:rFonts w:ascii="Arial" w:cs="Arial" w:eastAsia="Arial" w:hAnsi="Arial"/>
                <w:b w:val="false"/>
                <w:bCs w:val="false"/>
                <w:color w:val="333333"/>
                <w:sz w:val="17"/>
                <w:szCs w:val="17"/>
              </w:rPr>
              <w:t xml:space="preserve">directional upside total.</w:t>
            </w:r>
          </w:p>
        </w:tc>
      </w:tr>
    </w:tbl>
    <w:p>
      <w:pPr>
        <w:spacing w:after="0" w:before="0" w:line="160" w:lineRule="exact"/>
      </w:pPr>
      <w:r>
        <w:rPr>
          <w:sz w:val="4"/>
          <w:szCs w:val="4"/>
        </w:rPr>
        <w:t xml:space="preserve"/>
      </w:r>
    </w:p>
    <w:p>
      <w:pPr>
        <w:pBdr>
          <w:left w:val="single" w:color="B8962E" w:sz="16" w:space="8"/>
        </w:pBdr>
        <w:spacing w:after="0" w:before="120"/>
        <w:ind w:left="200"/>
      </w:pPr>
      <w:r>
        <w:rPr>
          <w:rFonts w:ascii="Arial" w:cs="Arial" w:eastAsia="Arial" w:hAnsi="Arial"/>
          <w:b/>
          <w:bCs/>
          <w:color w:val="B8962E"/>
          <w:sz w:val="18"/>
          <w:szCs w:val="18"/>
        </w:rPr>
        <w:t xml:space="preserve">Opportunity 04</w:t>
      </w:r>
    </w:p>
    <w:p>
      <w:pPr>
        <w:pBdr>
          <w:left w:val="single" w:color="B8962E" w:sz="16" w:space="8"/>
        </w:pBdr>
        <w:spacing w:after="0" w:before="0"/>
        <w:ind w:left="200"/>
      </w:pPr>
      <w:r>
        <w:rPr>
          <w:rFonts w:ascii="Arial" w:cs="Arial" w:eastAsia="Arial" w:hAnsi="Arial"/>
          <w:b/>
          <w:bCs/>
          <w:color w:val="1B2A4A"/>
          <w:sz w:val="21"/>
          <w:szCs w:val="21"/>
        </w:rPr>
        <w:t xml:space="preserve">Consultant Voice Profiles and Brand-Consistent Communications</w:t>
      </w:r>
    </w:p>
    <w:p>
      <w:pPr>
        <w:pBdr>
          <w:left w:val="single" w:color="B8962E" w:sz="16" w:space="8"/>
        </w:pBdr>
        <w:spacing w:after="60" w:before="0"/>
        <w:ind w:left="200"/>
      </w:pPr>
      <w:r>
        <w:rPr>
          <w:rFonts w:ascii="Arial" w:cs="Arial" w:eastAsia="Arial" w:hAnsi="Arial"/>
          <w:i/>
          <w:iCs/>
          <w:color w:val="888888"/>
          <w:sz w:val="17"/>
          <w:szCs w:val="17"/>
        </w:rPr>
        <w:t xml:space="preserve">AI voice profiles deliver consistent, brand-aligned client communications at scale</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b/>
                <w:bCs/>
                <w:color w:val="1B2A4A"/>
                <w:sz w:val="17"/>
                <w:szCs w:val="17"/>
              </w:rPr>
              <w:t xml:space="preserve">Dimensions: </w:t>
            </w:r>
            <w:r>
              <w:rPr>
                <w:rFonts w:ascii="Arial" w:cs="Arial" w:eastAsia="Arial" w:hAnsi="Arial"/>
                <w:color w:val="333333"/>
                <w:sz w:val="17"/>
                <w:szCs w:val="17"/>
              </w:rPr>
              <w:t xml:space="preserve">Workforce Readiness, Process Readiness     </w:t>
            </w:r>
            <w:r>
              <w:rPr>
                <w:rFonts w:ascii="Arial" w:cs="Arial" w:eastAsia="Arial" w:hAnsi="Arial"/>
                <w:b/>
                <w:bCs/>
                <w:color w:val="1B2A4A"/>
                <w:sz w:val="17"/>
                <w:szCs w:val="17"/>
              </w:rPr>
              <w:t xml:space="preserve">Complexity: </w:t>
            </w:r>
            <w:r>
              <w:rPr>
                <w:rFonts w:ascii="Arial" w:cs="Arial" w:eastAsia="Arial" w:hAnsi="Arial"/>
                <w:b/>
                <w:bCs/>
                <w:color w:val="E87722"/>
                <w:sz w:val="17"/>
                <w:szCs w:val="17"/>
              </w:rPr>
              <w:t xml:space="preserve">Medium     </w:t>
            </w:r>
          </w:p>
        </w:tc>
      </w:tr>
    </w:tbl>
    <w:p>
      <w:pPr>
        <w:spacing w:after="40" w:before="100"/>
      </w:pPr>
      <w:r>
        <w:rPr>
          <w:rFonts w:ascii="Arial" w:cs="Arial" w:eastAsia="Arial" w:hAnsi="Arial"/>
          <w:b/>
          <w:bCs/>
          <w:color w:val="1B2A4A"/>
          <w:sz w:val="17"/>
          <w:szCs w:val="17"/>
        </w:rPr>
        <w:t xml:space="preserve">Current state</w:t>
      </w:r>
    </w:p>
    <w:p>
      <w:pPr>
        <w:spacing w:after="100" w:before="0" w:line="276" w:lineRule="auto"/>
      </w:pPr>
      <w:r>
        <w:rPr>
          <w:rFonts w:ascii="Arial" w:cs="Arial" w:eastAsia="Arial" w:hAnsi="Arial"/>
          <w:color w:val="333333"/>
          <w:sz w:val="19"/>
          <w:szCs w:val="19"/>
        </w:rPr>
        <w:t xml:space="preserve">Eighteen consultants produce client-facing communications to no shared standard. Tone, structure, and brand alignment vary significantly by individual. The quality gap is visible to clients and currently unmanaged. Clients working with different consultants receive materially different communication experiences. There is no scalable mechanism to address this without adding overhead.</w:t>
      </w:r>
    </w:p>
    <w:p>
      <w:pPr>
        <w:spacing w:after="40" w:before="0"/>
      </w:pPr>
      <w:r>
        <w:rPr>
          <w:rFonts w:ascii="Arial" w:cs="Arial" w:eastAsia="Arial" w:hAnsi="Arial"/>
          <w:b/>
          <w:bCs/>
          <w:color w:val="1B2A4A"/>
          <w:sz w:val="17"/>
          <w:szCs w:val="17"/>
        </w:rPr>
        <w:t xml:space="preserve">Proposed application</w:t>
      </w:r>
    </w:p>
    <w:p>
      <w:pPr>
        <w:spacing w:after="100" w:before="0" w:line="276" w:lineRule="auto"/>
      </w:pPr>
      <w:r>
        <w:rPr>
          <w:rFonts w:ascii="Arial" w:cs="Arial" w:eastAsia="Arial" w:hAnsi="Arial"/>
          <w:color w:val="333333"/>
          <w:sz w:val="19"/>
          <w:szCs w:val="19"/>
        </w:rPr>
        <w:t xml:space="preserve">AI-generated voice profiles per consultant, trained on a library of approved client communications. The system outputs emails, follow-up notes, and role summaries that are brand-consistent and individually calibrated to each consultant's style. Consultant reviews before sending. Requires a communication sample library and per-consultant prompt calibration. Phase 2 deployment, after the team has operational experience with AI-assisted drafting from Opportunities 01 and 02.</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80"/>
              <w:left w:type="dxa" w:w="160"/>
              <w:bottom w:type="dxa" w:w="80"/>
              <w:right w:type="dxa" w:w="160"/>
            </w:tcMar>
          </w:tcPr>
          <w:p>
            <w:pPr>
              <w:spacing w:after="60"/>
            </w:pPr>
            <w:r>
              <w:rPr>
                <w:rFonts w:ascii="Arial" w:cs="Arial" w:eastAsia="Arial" w:hAnsi="Arial"/>
                <w:b/>
                <w:bCs/>
                <w:color w:val="1B2A4A"/>
                <w:sz w:val="17"/>
                <w:szCs w:val="17"/>
              </w:rPr>
              <w:t xml:space="preserve">Value calculation</w:t>
            </w:r>
          </w:p>
          <w:p>
            <w:pPr>
              <w:spacing w:after="16" w:before="16" w:line="248" w:lineRule="auto"/>
            </w:pPr>
            <w:r>
              <w:rPr>
                <w:rFonts w:ascii="Arial" w:cs="Arial" w:eastAsia="Arial" w:hAnsi="Arial"/>
                <w:b w:val="false"/>
                <w:bCs w:val="false"/>
                <w:color w:val="333333"/>
                <w:sz w:val="17"/>
                <w:szCs w:val="17"/>
              </w:rPr>
              <w:t xml:space="preserve">18 consultants</w:t>
            </w:r>
          </w:p>
          <w:p>
            <w:pPr>
              <w:spacing w:after="16" w:before="16" w:line="248" w:lineRule="auto"/>
            </w:pPr>
            <w:r>
              <w:rPr>
                <w:rFonts w:ascii="Arial" w:cs="Arial" w:eastAsia="Arial" w:hAnsi="Arial"/>
                <w:b w:val="false"/>
                <w:bCs w:val="false"/>
                <w:color w:val="333333"/>
                <w:sz w:val="17"/>
                <w:szCs w:val="17"/>
              </w:rPr>
              <w:t xml:space="preserve">1.5 client communications per day</w:t>
            </w:r>
          </w:p>
          <w:p>
            <w:pPr>
              <w:spacing w:after="16" w:before="16" w:line="248" w:lineRule="auto"/>
            </w:pPr>
            <w:r>
              <w:rPr>
                <w:rFonts w:ascii="Arial" w:cs="Arial" w:eastAsia="Arial" w:hAnsi="Arial"/>
                <w:b w:val="false"/>
                <w:bCs w:val="false"/>
                <w:color w:val="333333"/>
                <w:sz w:val="17"/>
                <w:szCs w:val="17"/>
              </w:rPr>
              <w:t xml:space="preserve">15 minutes saved per communication</w:t>
            </w:r>
          </w:p>
          <w:p>
            <w:pPr>
              <w:spacing w:after="16" w:before="16" w:line="248" w:lineRule="auto"/>
            </w:pPr>
            <w:r>
              <w:rPr>
                <w:rFonts w:ascii="Arial" w:cs="Arial" w:eastAsia="Arial" w:hAnsi="Arial"/>
                <w:b w:val="false"/>
                <w:bCs w:val="false"/>
                <w:color w:val="333333"/>
                <w:sz w:val="17"/>
                <w:szCs w:val="17"/>
              </w:rPr>
              <w:t xml:space="preserve">$85/hr fully loaded consultant rate</w:t>
            </w:r>
          </w:p>
          <w:p>
            <w:pPr>
              <w:spacing w:after="16" w:before="16" w:line="248" w:lineRule="auto"/>
            </w:pPr>
            <w:r>
              <w:rPr>
                <w:rFonts w:ascii="Arial" w:cs="Arial" w:eastAsia="Arial" w:hAnsi="Arial"/>
                <w:b w:val="false"/>
                <w:bCs w:val="false"/>
                <w:color w:val="333333"/>
                <w:sz w:val="17"/>
                <w:szCs w:val="17"/>
              </w:rPr>
              <w:t xml:space="preserve">240 working days</w:t>
            </w:r>
          </w:p>
          <w:p>
            <w:pPr>
              <w:spacing w:after="0" w:before="40"/>
            </w:pPr>
            <w:r>
              <w:rPr>
                <w:sz w:val="4"/>
                <w:szCs w:val="4"/>
              </w:rPr>
              <w:t xml:space="preserve"/>
            </w:r>
          </w:p>
          <w:p>
            <w:pPr>
              <w:spacing w:after="16" w:before="16" w:line="248" w:lineRule="auto"/>
            </w:pPr>
            <w:r>
              <w:rPr>
                <w:rFonts w:ascii="Arial" w:cs="Arial" w:eastAsia="Arial" w:hAnsi="Arial"/>
                <w:b/>
                <w:bCs/>
                <w:color w:val="1B2A4A"/>
                <w:sz w:val="19"/>
                <w:szCs w:val="19"/>
              </w:rPr>
              <w:t xml:space="preserve">= 18 x 1.5 x 0.25 hr x $85 x 240</w:t>
            </w:r>
          </w:p>
          <w:p>
            <w:pPr>
              <w:spacing w:after="16" w:before="16" w:line="248" w:lineRule="auto"/>
            </w:pPr>
            <w:r>
              <w:rPr>
                <w:rFonts w:ascii="Arial" w:cs="Arial" w:eastAsia="Arial" w:hAnsi="Arial"/>
                <w:b/>
                <w:bCs/>
                <w:color w:val="1B2A4A"/>
                <w:sz w:val="19"/>
                <w:szCs w:val="19"/>
              </w:rPr>
              <w:t xml:space="preserve">= $137,700 per annum (directional)</w:t>
            </w:r>
          </w:p>
          <w:p>
            <w:pPr>
              <w:spacing w:after="0" w:before="40"/>
            </w:pPr>
            <w:r>
              <w:rPr>
                <w:sz w:val="4"/>
                <w:szCs w:val="4"/>
              </w:rPr>
              <w:t xml:space="preserve"/>
            </w:r>
          </w:p>
          <w:p>
            <w:pPr>
              <w:spacing w:after="16" w:before="16" w:line="248" w:lineRule="auto"/>
            </w:pPr>
            <w:r>
              <w:rPr>
                <w:rFonts w:ascii="Arial" w:cs="Arial" w:eastAsia="Arial" w:hAnsi="Arial"/>
                <w:b w:val="false"/>
                <w:bCs w:val="false"/>
                <w:color w:val="333333"/>
                <w:sz w:val="17"/>
                <w:szCs w:val="17"/>
              </w:rPr>
              <w:t xml:space="preserve">Note: 1.5 comms per consultant per day is</w:t>
            </w:r>
          </w:p>
          <w:p>
            <w:pPr>
              <w:spacing w:after="16" w:before="16" w:line="248" w:lineRule="auto"/>
            </w:pPr>
            <w:r>
              <w:rPr>
                <w:rFonts w:ascii="Arial" w:cs="Arial" w:eastAsia="Arial" w:hAnsi="Arial"/>
                <w:b w:val="false"/>
                <w:bCs w:val="false"/>
                <w:color w:val="333333"/>
                <w:sz w:val="17"/>
                <w:szCs w:val="17"/>
              </w:rPr>
              <w:t xml:space="preserve">a conservative floor. Adjust for actual</w:t>
            </w:r>
          </w:p>
          <w:p>
            <w:pPr>
              <w:spacing w:after="16" w:before="16" w:line="248" w:lineRule="auto"/>
            </w:pPr>
            <w:r>
              <w:rPr>
                <w:rFonts w:ascii="Arial" w:cs="Arial" w:eastAsia="Arial" w:hAnsi="Arial"/>
                <w:b w:val="false"/>
                <w:bCs w:val="false"/>
                <w:color w:val="333333"/>
                <w:sz w:val="17"/>
                <w:szCs w:val="17"/>
              </w:rPr>
              <w:t xml:space="preserve">team volume to refine this estimate.</w:t>
            </w:r>
          </w:p>
        </w:tc>
      </w:tr>
    </w:tbl>
    <w:p>
      <w:pPr>
        <w:pBdr>
          <w:left w:val="single" w:color="B8962E" w:sz="16" w:space="8"/>
        </w:pBdr>
        <w:spacing w:after="0" w:before="120"/>
        <w:ind w:left="200"/>
      </w:pPr>
      <w:r>
        <w:rPr>
          <w:rFonts w:ascii="Arial" w:cs="Arial" w:eastAsia="Arial" w:hAnsi="Arial"/>
          <w:b/>
          <w:bCs/>
          <w:color w:val="B8962E"/>
          <w:sz w:val="18"/>
          <w:szCs w:val="18"/>
        </w:rPr>
        <w:t xml:space="preserve">Opportunity 05</w:t>
      </w:r>
    </w:p>
    <w:p>
      <w:pPr>
        <w:pBdr>
          <w:left w:val="single" w:color="B8962E" w:sz="16" w:space="8"/>
        </w:pBdr>
        <w:spacing w:after="0" w:before="0"/>
        <w:ind w:left="200"/>
      </w:pPr>
      <w:r>
        <w:rPr>
          <w:rFonts w:ascii="Arial" w:cs="Arial" w:eastAsia="Arial" w:hAnsi="Arial"/>
          <w:b/>
          <w:bCs/>
          <w:color w:val="1B2A4A"/>
          <w:sz w:val="21"/>
          <w:szCs w:val="21"/>
        </w:rPr>
        <w:t xml:space="preserve">AI-Assisted Market Mapping and Target List Generation</w:t>
      </w:r>
    </w:p>
    <w:p>
      <w:pPr>
        <w:pBdr>
          <w:left w:val="single" w:color="B8962E" w:sz="16" w:space="8"/>
        </w:pBdr>
        <w:spacing w:after="60" w:before="0"/>
        <w:ind w:left="200"/>
      </w:pPr>
      <w:r>
        <w:rPr>
          <w:rFonts w:ascii="Arial" w:cs="Arial" w:eastAsia="Arial" w:hAnsi="Arial"/>
          <w:i/>
          <w:iCs/>
          <w:color w:val="888888"/>
          <w:sz w:val="17"/>
          <w:szCs w:val="17"/>
        </w:rPr>
        <w:t xml:space="preserve">Auto-refreshed BD target lists cut senior consultant research time by 60%</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tcPr>
          <w:p>
            <w:r>
              <w:rPr>
                <w:rFonts w:ascii="Arial" w:cs="Arial" w:eastAsia="Arial" w:hAnsi="Arial"/>
                <w:b/>
                <w:bCs/>
                <w:color w:val="1B2A4A"/>
                <w:sz w:val="17"/>
                <w:szCs w:val="17"/>
              </w:rPr>
              <w:t xml:space="preserve">Dimensions: </w:t>
            </w:r>
            <w:r>
              <w:rPr>
                <w:rFonts w:ascii="Arial" w:cs="Arial" w:eastAsia="Arial" w:hAnsi="Arial"/>
                <w:color w:val="333333"/>
                <w:sz w:val="17"/>
                <w:szCs w:val="17"/>
              </w:rPr>
              <w:t xml:space="preserve">Process Readiness, Commercial Readiness     </w:t>
            </w:r>
            <w:r>
              <w:rPr>
                <w:rFonts w:ascii="Arial" w:cs="Arial" w:eastAsia="Arial" w:hAnsi="Arial"/>
                <w:b/>
                <w:bCs/>
                <w:color w:val="1B2A4A"/>
                <w:sz w:val="17"/>
                <w:szCs w:val="17"/>
              </w:rPr>
              <w:t xml:space="preserve">Complexity: </w:t>
            </w:r>
            <w:r>
              <w:rPr>
                <w:rFonts w:ascii="Arial" w:cs="Arial" w:eastAsia="Arial" w:hAnsi="Arial"/>
                <w:b/>
                <w:bCs/>
                <w:color w:val="E87722"/>
                <w:sz w:val="17"/>
                <w:szCs w:val="17"/>
              </w:rPr>
              <w:t xml:space="preserve">Medium     </w:t>
            </w:r>
          </w:p>
        </w:tc>
      </w:tr>
    </w:tbl>
    <w:p>
      <w:pPr>
        <w:spacing w:after="40" w:before="100"/>
      </w:pPr>
      <w:r>
        <w:rPr>
          <w:rFonts w:ascii="Arial" w:cs="Arial" w:eastAsia="Arial" w:hAnsi="Arial"/>
          <w:b/>
          <w:bCs/>
          <w:color w:val="1B2A4A"/>
          <w:sz w:val="17"/>
          <w:szCs w:val="17"/>
        </w:rPr>
        <w:t xml:space="preserve">Current state</w:t>
      </w:r>
    </w:p>
    <w:p>
      <w:pPr>
        <w:spacing w:after="100" w:before="0" w:line="276" w:lineRule="auto"/>
      </w:pPr>
      <w:r>
        <w:rPr>
          <w:rFonts w:ascii="Arial" w:cs="Arial" w:eastAsia="Arial" w:hAnsi="Arial"/>
          <w:color w:val="333333"/>
          <w:sz w:val="19"/>
          <w:szCs w:val="19"/>
        </w:rPr>
        <w:t xml:space="preserve">BD target lists are built manually by senior consultants, consuming approximately four hours per week per person. Lists go stale quickly between builds. No systematic refresh process exists. Senior consultant time is being spent on a research task that does not require it.</w:t>
      </w:r>
    </w:p>
    <w:p>
      <w:pPr>
        <w:spacing w:after="40" w:before="0"/>
      </w:pPr>
      <w:r>
        <w:rPr>
          <w:rFonts w:ascii="Arial" w:cs="Arial" w:eastAsia="Arial" w:hAnsi="Arial"/>
          <w:b/>
          <w:bCs/>
          <w:color w:val="1B2A4A"/>
          <w:sz w:val="17"/>
          <w:szCs w:val="17"/>
        </w:rPr>
        <w:t xml:space="preserve">Proposed application</w:t>
      </w:r>
    </w:p>
    <w:p>
      <w:pPr>
        <w:spacing w:after="100" w:before="0" w:line="276" w:lineRule="auto"/>
      </w:pPr>
      <w:r>
        <w:rPr>
          <w:rFonts w:ascii="Arial" w:cs="Arial" w:eastAsia="Arial" w:hAnsi="Arial"/>
          <w:color w:val="333333"/>
          <w:sz w:val="19"/>
          <w:szCs w:val="19"/>
        </w:rPr>
        <w:t xml:space="preserve">AI-assisted market mapping across LinkedIn, company databases, and sector signals. Auto-generates and refreshes target lists by sector, geography, and hiring signal. Estimated 60% reduction in senior consultant BD research time. Low implementation complexity. No dependency on governance or data structure work. Runs as a background task alongside Phase 1 from day one.</w:t>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c>
          <w:tcPr>
            <w:tcW w:type="dxa" w:w="9506"/>
            <w:tcBorders>
              <w:top w:val="single" w:color="DDDDDD" w:sz="4"/>
              <w:left w:val="none" w:color="FFFFFF" w:sz="0"/>
              <w:bottom w:val="single" w:color="DDDDDD" w:sz="4"/>
              <w:right w:val="none" w:color="FFFFFF" w:sz="0"/>
            </w:tcBorders>
            <w:shd w:fill="F4F5F7" w:val="clear"/>
            <w:tcMar>
              <w:top w:type="dxa" w:w="80"/>
              <w:left w:type="dxa" w:w="160"/>
              <w:bottom w:type="dxa" w:w="80"/>
              <w:right w:type="dxa" w:w="160"/>
            </w:tcMar>
          </w:tcPr>
          <w:p>
            <w:pPr>
              <w:spacing w:after="60"/>
            </w:pPr>
            <w:r>
              <w:rPr>
                <w:rFonts w:ascii="Arial" w:cs="Arial" w:eastAsia="Arial" w:hAnsi="Arial"/>
                <w:b/>
                <w:bCs/>
                <w:color w:val="1B2A4A"/>
                <w:sz w:val="17"/>
                <w:szCs w:val="17"/>
              </w:rPr>
              <w:t xml:space="preserve">Value calculation</w:t>
            </w:r>
          </w:p>
          <w:p>
            <w:pPr>
              <w:spacing w:after="16" w:before="16" w:line="248" w:lineRule="auto"/>
            </w:pPr>
            <w:r>
              <w:rPr>
                <w:rFonts w:ascii="Arial" w:cs="Arial" w:eastAsia="Arial" w:hAnsi="Arial"/>
                <w:b w:val="false"/>
                <w:bCs w:val="false"/>
                <w:color w:val="333333"/>
                <w:sz w:val="17"/>
                <w:szCs w:val="17"/>
              </w:rPr>
              <w:t xml:space="preserve">2 senior consultants x 4 hours per week on BD research</w:t>
            </w:r>
          </w:p>
          <w:p>
            <w:pPr>
              <w:spacing w:after="16" w:before="16" w:line="248" w:lineRule="auto"/>
            </w:pPr>
            <w:r>
              <w:rPr>
                <w:rFonts w:ascii="Arial" w:cs="Arial" w:eastAsia="Arial" w:hAnsi="Arial"/>
                <w:b w:val="false"/>
                <w:bCs w:val="false"/>
                <w:color w:val="333333"/>
                <w:sz w:val="17"/>
                <w:szCs w:val="17"/>
              </w:rPr>
              <w:t xml:space="preserve">60% time reduction</w:t>
            </w:r>
          </w:p>
          <w:p>
            <w:pPr>
              <w:spacing w:after="16" w:before="16" w:line="248" w:lineRule="auto"/>
            </w:pPr>
            <w:r>
              <w:rPr>
                <w:rFonts w:ascii="Arial" w:cs="Arial" w:eastAsia="Arial" w:hAnsi="Arial"/>
                <w:b w:val="false"/>
                <w:bCs w:val="false"/>
                <w:color w:val="333333"/>
                <w:sz w:val="17"/>
                <w:szCs w:val="17"/>
              </w:rPr>
              <w:t xml:space="preserve">$85/hr fully loaded consultant rate</w:t>
            </w:r>
          </w:p>
          <w:p>
            <w:pPr>
              <w:spacing w:after="16" w:before="16" w:line="248" w:lineRule="auto"/>
            </w:pPr>
            <w:r>
              <w:rPr>
                <w:rFonts w:ascii="Arial" w:cs="Arial" w:eastAsia="Arial" w:hAnsi="Arial"/>
                <w:b w:val="false"/>
                <w:bCs w:val="false"/>
                <w:color w:val="333333"/>
                <w:sz w:val="17"/>
                <w:szCs w:val="17"/>
              </w:rPr>
              <w:t xml:space="preserve">48 working weeks</w:t>
            </w:r>
          </w:p>
          <w:p>
            <w:pPr>
              <w:spacing w:after="0" w:before="40"/>
            </w:pPr>
            <w:r>
              <w:rPr>
                <w:sz w:val="4"/>
                <w:szCs w:val="4"/>
              </w:rPr>
              <w:t xml:space="preserve"/>
            </w:r>
          </w:p>
          <w:p>
            <w:pPr>
              <w:spacing w:after="16" w:before="16" w:line="248" w:lineRule="auto"/>
            </w:pPr>
            <w:r>
              <w:rPr>
                <w:rFonts w:ascii="Arial" w:cs="Arial" w:eastAsia="Arial" w:hAnsi="Arial"/>
                <w:b/>
                <w:bCs/>
                <w:color w:val="1B2A4A"/>
                <w:sz w:val="19"/>
                <w:szCs w:val="19"/>
              </w:rPr>
              <w:t xml:space="preserve">= 2 x 4 x 0.6 x $85 x 48</w:t>
            </w:r>
          </w:p>
          <w:p>
            <w:pPr>
              <w:spacing w:after="16" w:before="16" w:line="248" w:lineRule="auto"/>
            </w:pPr>
            <w:r>
              <w:rPr>
                <w:rFonts w:ascii="Arial" w:cs="Arial" w:eastAsia="Arial" w:hAnsi="Arial"/>
                <w:b/>
                <w:bCs/>
                <w:color w:val="1B2A4A"/>
                <w:sz w:val="19"/>
                <w:szCs w:val="19"/>
              </w:rPr>
              <w:t xml:space="preserve">= $19,584 per annum (directional)</w:t>
            </w:r>
          </w:p>
          <w:p>
            <w:pPr>
              <w:spacing w:after="0" w:before="40"/>
            </w:pPr>
            <w:r>
              <w:rPr>
                <w:sz w:val="4"/>
                <w:szCs w:val="4"/>
              </w:rPr>
              <w:t xml:space="preserve"/>
            </w:r>
          </w:p>
          <w:p>
            <w:pPr>
              <w:spacing w:after="16" w:before="16" w:line="248" w:lineRule="auto"/>
            </w:pPr>
            <w:r>
              <w:rPr>
                <w:rFonts w:ascii="Arial" w:cs="Arial" w:eastAsia="Arial" w:hAnsi="Arial"/>
                <w:b w:val="false"/>
                <w:bCs w:val="false"/>
                <w:color w:val="333333"/>
                <w:sz w:val="17"/>
                <w:szCs w:val="17"/>
              </w:rPr>
              <w:t xml:space="preserve">Note: 60% reduction is consistent with</w:t>
            </w:r>
          </w:p>
          <w:p>
            <w:pPr>
              <w:spacing w:after="16" w:before="16" w:line="248" w:lineRule="auto"/>
            </w:pPr>
            <w:r>
              <w:rPr>
                <w:rFonts w:ascii="Arial" w:cs="Arial" w:eastAsia="Arial" w:hAnsi="Arial"/>
                <w:b w:val="false"/>
                <w:bCs w:val="false"/>
                <w:color w:val="333333"/>
                <w:sz w:val="17"/>
                <w:szCs w:val="17"/>
              </w:rPr>
              <w:t xml:space="preserve">AI-assisted research tools in comparable</w:t>
            </w:r>
          </w:p>
          <w:p>
            <w:pPr>
              <w:spacing w:after="16" w:before="16" w:line="248" w:lineRule="auto"/>
            </w:pPr>
            <w:r>
              <w:rPr>
                <w:rFonts w:ascii="Arial" w:cs="Arial" w:eastAsia="Arial" w:hAnsi="Arial"/>
                <w:b w:val="false"/>
                <w:bCs w:val="false"/>
                <w:color w:val="333333"/>
                <w:sz w:val="17"/>
                <w:szCs w:val="17"/>
              </w:rPr>
              <w:t xml:space="preserve">BD functions. Conservative floor is 40%.</w:t>
            </w:r>
          </w:p>
        </w:tc>
      </w:tr>
    </w:tbl>
    <w:p>
      <w:pPr>
        <w:pBdr>
          <w:top w:val="single" w:color="B8962E" w:sz="4" w:space="6"/>
          <w:bottom w:val="single" w:color="B8962E" w:sz="4" w:space="6"/>
        </w:pBdr>
        <w:spacing w:after="100" w:before="180" w:line="276" w:lineRule="auto"/>
      </w:pPr>
      <w:r>
        <w:rPr>
          <w:rFonts w:ascii="Arial" w:cs="Arial" w:eastAsia="Arial" w:hAnsi="Arial"/>
          <w:i/>
          <w:iCs/>
          <w:color w:val="1B2A4A"/>
          <w:sz w:val="19"/>
          <w:szCs w:val="19"/>
        </w:rPr>
        <w:t xml:space="preserve">Opportunities 01 and 02 alone recover $220,000 in annualised consultant time. Opportunities 04 and 05 add a further $157,000. Opportunity 03 represents additional revenue protection scoped separately.</w:t>
      </w:r>
    </w:p>
    <w:p>
      <w:pPr>
        <w:pageBreakBefore/>
        <w:pBdr>
          <w:bottom w:val="single" w:color="B8962E" w:sz="3" w:space="4"/>
        </w:pBdr>
        <w:spacing w:after="140" w:before="0"/>
      </w:pPr>
      <w:r>
        <w:rPr>
          <w:rFonts w:ascii="Arial" w:cs="Arial" w:eastAsia="Arial" w:hAnsi="Arial"/>
          <w:b/>
          <w:bCs/>
          <w:color w:val="1B2A4A"/>
          <w:sz w:val="26"/>
          <w:szCs w:val="26"/>
        </w:rPr>
        <w:t xml:space="preserve">90-Day Action Plan</w:t>
      </w:r>
      <w:r>
        <w:rPr>
          <w:rFonts w:ascii="Arial" w:cs="Arial" w:eastAsia="Arial" w:hAnsi="Arial"/>
          <w:i/>
          <w:iCs/>
          <w:color w:val="B8962E"/>
          <w:sz w:val="18"/>
          <w:szCs w:val="18"/>
        </w:rPr>
        <w:t xml:space="preserve">   Sample</w:t>
      </w:r>
    </w:p>
    <w:p>
      <w:pPr>
        <w:spacing w:after="100" w:before="0" w:line="276" w:lineRule="auto"/>
      </w:pPr>
      <w:r>
        <w:rPr>
          <w:rFonts w:ascii="Arial" w:cs="Arial" w:eastAsia="Arial" w:hAnsi="Arial"/>
          <w:i w:val="false"/>
          <w:iCs w:val="false"/>
          <w:color w:val="333333"/>
          <w:sz w:val="19"/>
          <w:szCs w:val="19"/>
        </w:rPr>
        <w:t xml:space="preserve">Three phases. Defined objectives, specific actions, clear handoffs. Structured to be briefed to an internal team or handed to an implementation partner without further scoping.</w:t>
      </w:r>
    </w:p>
    <w:p>
      <w:pPr>
        <w:spacing w:after="0" w:before="0" w:line="120" w:lineRule="exact"/>
      </w:pPr>
      <w:r>
        <w:rPr>
          <w:sz w:val="4"/>
          <w:szCs w:val="4"/>
        </w:rPr>
        <w:t xml:space="preserve"/>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1235"/>
        <w:gridCol w:w="1616"/>
        <w:gridCol w:w="4372"/>
        <w:gridCol w:w="2281"/>
      </w:tblGrid>
      <w:tr>
        <w:trPr>
          <w:cantSplit/>
          <w:tblHeader/>
        </w:trPr>
        <w:tc>
          <w:tcPr>
            <w:tcW w:type="dxa" w:w="1235"/>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Phase</w:t>
            </w:r>
          </w:p>
        </w:tc>
        <w:tc>
          <w:tcPr>
            <w:tcW w:type="dxa" w:w="1616"/>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Timing</w:t>
            </w:r>
          </w:p>
        </w:tc>
        <w:tc>
          <w:tcPr>
            <w:tcW w:type="dxa" w:w="4372"/>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Objective</w:t>
            </w:r>
          </w:p>
        </w:tc>
        <w:tc>
          <w:tcPr>
            <w:tcW w:type="dxa" w:w="2281"/>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Opportunities</w:t>
            </w:r>
          </w:p>
        </w:tc>
      </w:tr>
      <w:tr>
        <w:trPr>
          <w:cantSplit/>
        </w:trPr>
        <w:tc>
          <w:tcPr>
            <w:tcW w:type="dxa" w:w="1235"/>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Phase 1</w:t>
            </w:r>
          </w:p>
        </w:tc>
        <w:tc>
          <w:tcPr>
            <w:tcW w:type="dxa" w:w="1616"/>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Days 1 to 30</w:t>
            </w:r>
          </w:p>
        </w:tc>
        <w:tc>
          <w:tcPr>
            <w:tcW w:type="dxa" w:w="437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Deploy Opportunities 01 and 02. Establish governance baseline.</w:t>
            </w:r>
          </w:p>
        </w:tc>
        <w:tc>
          <w:tcPr>
            <w:tcW w:type="dxa" w:w="228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01, 02, 05 (background)</w:t>
            </w:r>
          </w:p>
        </w:tc>
      </w:tr>
      <w:tr>
        <w:trPr>
          <w:cantSplit/>
        </w:trPr>
        <w:tc>
          <w:tcPr>
            <w:tcW w:type="dxa" w:w="1235"/>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Phase 2</w:t>
            </w:r>
          </w:p>
        </w:tc>
        <w:tc>
          <w:tcPr>
            <w:tcW w:type="dxa" w:w="1616"/>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Days 31 to 60</w:t>
            </w:r>
          </w:p>
        </w:tc>
        <w:tc>
          <w:tcPr>
            <w:tcW w:type="dxa" w:w="4372"/>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Deploy Opportunity 04. Build consistent output standards.</w:t>
            </w:r>
          </w:p>
        </w:tc>
        <w:tc>
          <w:tcPr>
            <w:tcW w:type="dxa" w:w="228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04</w:t>
            </w:r>
          </w:p>
        </w:tc>
      </w:tr>
      <w:tr>
        <w:trPr>
          <w:cantSplit/>
        </w:trPr>
        <w:tc>
          <w:tcPr>
            <w:tcW w:type="dxa" w:w="1235"/>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Phase 3</w:t>
            </w:r>
          </w:p>
        </w:tc>
        <w:tc>
          <w:tcPr>
            <w:tcW w:type="dxa" w:w="1616"/>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Days 61 to 90</w:t>
            </w:r>
          </w:p>
        </w:tc>
        <w:tc>
          <w:tcPr>
            <w:tcW w:type="dxa" w:w="4372"/>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Scope Opportunity 03. Commission next phase if proceeding.</w:t>
            </w:r>
          </w:p>
        </w:tc>
        <w:tc>
          <w:tcPr>
            <w:tcW w:type="dxa" w:w="228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03</w:t>
            </w:r>
          </w:p>
        </w:tc>
      </w:tr>
    </w:tbl>
    <w:p>
      <w:pPr>
        <w:spacing w:after="0" w:before="0" w:line="240" w:lineRule="exact"/>
      </w:pPr>
      <w:r>
        <w:rPr>
          <w:sz w:val="4"/>
          <w:szCs w:val="4"/>
        </w:rPr>
        <w:t xml:space="preserve"/>
      </w:r>
    </w:p>
    <w:p>
      <w:pPr>
        <w:pBdr>
          <w:left w:val="single" w:color="B8962E" w:sz="16" w:space="8"/>
        </w:pBdr>
        <w:spacing w:after="30" w:before="160"/>
        <w:ind w:left="240"/>
      </w:pPr>
      <w:r>
        <w:rPr>
          <w:rFonts w:ascii="Georgia" w:cs="Georgia" w:eastAsia="Georgia" w:hAnsi="Georgia"/>
          <w:b/>
          <w:bCs/>
          <w:color w:val="B8962E"/>
          <w:sz w:val="21"/>
          <w:szCs w:val="21"/>
        </w:rPr>
        <w:t xml:space="preserve">Phase 1  </w:t>
      </w:r>
      <w:r>
        <w:rPr>
          <w:rFonts w:ascii="Georgia" w:cs="Georgia" w:eastAsia="Georgia" w:hAnsi="Georgia"/>
          <w:b/>
          <w:bCs/>
          <w:color w:val="1B2A4A"/>
          <w:sz w:val="21"/>
          <w:szCs w:val="21"/>
        </w:rPr>
        <w:t xml:space="preserve">Days 1 to 30</w:t>
      </w:r>
    </w:p>
    <w:p>
      <w:pPr>
        <w:pBdr>
          <w:left w:val="single" w:color="B8962E" w:sz="16" w:space="8"/>
        </w:pBdr>
        <w:spacing w:after="80" w:before="0"/>
        <w:ind w:left="240"/>
      </w:pPr>
      <w:r>
        <w:rPr>
          <w:rFonts w:ascii="Arial" w:cs="Arial" w:eastAsia="Arial" w:hAnsi="Arial"/>
          <w:i/>
          <w:iCs/>
          <w:color w:val="888888"/>
          <w:sz w:val="17"/>
          <w:szCs w:val="17"/>
        </w:rPr>
        <w:t xml:space="preserve">Deploy Opportunities 01 and 02. Establish governance baseline.</w:t>
      </w:r>
    </w:p>
    <w:p>
      <w:pPr>
        <w:pStyle w:val="ListParagraph"/>
        <w:numPr>
          <w:ilvl w:val="0"/>
          <w:numId w:val="2"/>
        </w:numPr>
        <w:spacing w:after="40" w:before="40" w:line="276" w:lineRule="auto"/>
      </w:pPr>
      <w:r>
        <w:rPr>
          <w:rFonts w:ascii="Arial" w:cs="Arial" w:eastAsia="Arial" w:hAnsi="Arial"/>
          <w:color w:val="333333"/>
          <w:sz w:val="19"/>
          <w:szCs w:val="19"/>
        </w:rPr>
        <w:t xml:space="preserve">Select AI tool and build prompt templates for assessment writeups and proposal generation. Run a two-consultant pilot, measure time against baseline, then expand to the full team.</w:t>
      </w:r>
    </w:p>
    <w:p>
      <w:pPr>
        <w:pStyle w:val="ListParagraph"/>
        <w:numPr>
          <w:ilvl w:val="0"/>
          <w:numId w:val="2"/>
        </w:numPr>
        <w:spacing w:after="40" w:before="40" w:line="276" w:lineRule="auto"/>
      </w:pPr>
      <w:r>
        <w:rPr>
          <w:rFonts w:ascii="Arial" w:cs="Arial" w:eastAsia="Arial" w:hAnsi="Arial"/>
          <w:color w:val="333333"/>
          <w:sz w:val="19"/>
          <w:szCs w:val="19"/>
        </w:rPr>
        <w:t xml:space="preserve">Implement the review step from day one: consultant checks AI output before it reaches a client. Draft and circulate the AI usage policy.</w:t>
      </w:r>
    </w:p>
    <w:p>
      <w:pPr>
        <w:pStyle w:val="ListParagraph"/>
        <w:numPr>
          <w:ilvl w:val="0"/>
          <w:numId w:val="2"/>
        </w:numPr>
        <w:spacing w:after="40" w:before="40" w:line="276" w:lineRule="auto"/>
      </w:pPr>
      <w:r>
        <w:rPr>
          <w:rFonts w:ascii="Arial" w:cs="Arial" w:eastAsia="Arial" w:hAnsi="Arial"/>
          <w:color w:val="333333"/>
          <w:sz w:val="19"/>
          <w:szCs w:val="19"/>
        </w:rPr>
        <w:t xml:space="preserve">Opportunity 05 starts as a background task: one senior consultant, 30 minutes per week, building and refreshing BD target lists.</w:t>
      </w:r>
    </w:p>
    <w:p>
      <w:pPr>
        <w:spacing w:after="0" w:before="0" w:line="200" w:lineRule="exact"/>
      </w:pPr>
      <w:r>
        <w:rPr>
          <w:sz w:val="4"/>
          <w:szCs w:val="4"/>
        </w:rPr>
        <w:t xml:space="preserve"/>
      </w:r>
    </w:p>
    <w:p>
      <w:pPr>
        <w:pBdr>
          <w:left w:val="single" w:color="B8962E" w:sz="16" w:space="8"/>
        </w:pBdr>
        <w:spacing w:after="30" w:before="160"/>
        <w:ind w:left="240"/>
      </w:pPr>
      <w:r>
        <w:rPr>
          <w:rFonts w:ascii="Georgia" w:cs="Georgia" w:eastAsia="Georgia" w:hAnsi="Georgia"/>
          <w:b/>
          <w:bCs/>
          <w:color w:val="B8962E"/>
          <w:sz w:val="21"/>
          <w:szCs w:val="21"/>
        </w:rPr>
        <w:t xml:space="preserve">Phase 2  </w:t>
      </w:r>
      <w:r>
        <w:rPr>
          <w:rFonts w:ascii="Georgia" w:cs="Georgia" w:eastAsia="Georgia" w:hAnsi="Georgia"/>
          <w:b/>
          <w:bCs/>
          <w:color w:val="1B2A4A"/>
          <w:sz w:val="21"/>
          <w:szCs w:val="21"/>
        </w:rPr>
        <w:t xml:space="preserve">Days 31 to 60</w:t>
      </w:r>
    </w:p>
    <w:p>
      <w:pPr>
        <w:pBdr>
          <w:left w:val="single" w:color="B8962E" w:sz="16" w:space="8"/>
        </w:pBdr>
        <w:spacing w:after="80" w:before="0"/>
        <w:ind w:left="240"/>
      </w:pPr>
      <w:r>
        <w:rPr>
          <w:rFonts w:ascii="Arial" w:cs="Arial" w:eastAsia="Arial" w:hAnsi="Arial"/>
          <w:i/>
          <w:iCs/>
          <w:color w:val="888888"/>
          <w:sz w:val="17"/>
          <w:szCs w:val="17"/>
        </w:rPr>
        <w:t xml:space="preserve">Deploy Opportunity 04. Build consistent output standards.</w:t>
      </w:r>
    </w:p>
    <w:p>
      <w:pPr>
        <w:pStyle w:val="ListParagraph"/>
        <w:numPr>
          <w:ilvl w:val="0"/>
          <w:numId w:val="2"/>
        </w:numPr>
        <w:spacing w:after="40" w:before="40" w:line="276" w:lineRule="auto"/>
      </w:pPr>
      <w:r>
        <w:rPr>
          <w:rFonts w:ascii="Arial" w:cs="Arial" w:eastAsia="Arial" w:hAnsi="Arial"/>
          <w:color w:val="333333"/>
          <w:sz w:val="19"/>
          <w:szCs w:val="19"/>
        </w:rPr>
        <w:t xml:space="preserve">Compile the communication library: 5 to 10 approved client communications per consultant as calibration examples. Build AI voice profiles per consultant and calibrate against Meridian's brand standards.</w:t>
      </w:r>
    </w:p>
    <w:p>
      <w:pPr>
        <w:pStyle w:val="ListParagraph"/>
        <w:numPr>
          <w:ilvl w:val="0"/>
          <w:numId w:val="2"/>
        </w:numPr>
        <w:spacing w:after="40" w:before="40" w:line="276" w:lineRule="auto"/>
      </w:pPr>
      <w:r>
        <w:rPr>
          <w:rFonts w:ascii="Arial" w:cs="Arial" w:eastAsia="Arial" w:hAnsi="Arial"/>
          <w:color w:val="333333"/>
          <w:sz w:val="19"/>
          <w:szCs w:val="19"/>
        </w:rPr>
        <w:t xml:space="preserve">Roll out under the Phase 1 review protocol. No AI-generated communication reaches a client without consultant sign-off.</w:t>
      </w:r>
    </w:p>
    <w:p>
      <w:pPr>
        <w:pStyle w:val="ListParagraph"/>
        <w:numPr>
          <w:ilvl w:val="0"/>
          <w:numId w:val="2"/>
        </w:numPr>
        <w:spacing w:after="40" w:before="40" w:line="276" w:lineRule="auto"/>
      </w:pPr>
      <w:r>
        <w:rPr>
          <w:rFonts w:ascii="Arial" w:cs="Arial" w:eastAsia="Arial" w:hAnsi="Arial"/>
          <w:color w:val="333333"/>
          <w:sz w:val="19"/>
          <w:szCs w:val="19"/>
        </w:rPr>
        <w:t xml:space="preserve">Quality review at day 45. Spot-check outputs against the library benchmark. Finalise and circulate the AI usage policy based on Phase 1 experience.</w:t>
      </w:r>
    </w:p>
    <w:p>
      <w:pPr>
        <w:spacing w:after="0" w:before="0" w:line="200" w:lineRule="exact"/>
      </w:pPr>
      <w:r>
        <w:rPr>
          <w:sz w:val="4"/>
          <w:szCs w:val="4"/>
        </w:rPr>
        <w:t xml:space="preserve"/>
      </w:r>
    </w:p>
    <w:p>
      <w:pPr>
        <w:pBdr>
          <w:left w:val="single" w:color="B8962E" w:sz="16" w:space="8"/>
        </w:pBdr>
        <w:spacing w:after="30" w:before="160"/>
        <w:ind w:left="240"/>
      </w:pPr>
      <w:r>
        <w:rPr>
          <w:rFonts w:ascii="Georgia" w:cs="Georgia" w:eastAsia="Georgia" w:hAnsi="Georgia"/>
          <w:b/>
          <w:bCs/>
          <w:color w:val="B8962E"/>
          <w:sz w:val="21"/>
          <w:szCs w:val="21"/>
        </w:rPr>
        <w:t xml:space="preserve">Phase 3  </w:t>
      </w:r>
      <w:r>
        <w:rPr>
          <w:rFonts w:ascii="Georgia" w:cs="Georgia" w:eastAsia="Georgia" w:hAnsi="Georgia"/>
          <w:b/>
          <w:bCs/>
          <w:color w:val="1B2A4A"/>
          <w:sz w:val="21"/>
          <w:szCs w:val="21"/>
        </w:rPr>
        <w:t xml:space="preserve">Days 61 to 90</w:t>
      </w:r>
    </w:p>
    <w:p>
      <w:pPr>
        <w:pBdr>
          <w:left w:val="single" w:color="B8962E" w:sz="16" w:space="8"/>
        </w:pBdr>
        <w:spacing w:after="80" w:before="0"/>
        <w:ind w:left="240"/>
      </w:pPr>
      <w:r>
        <w:rPr>
          <w:rFonts w:ascii="Arial" w:cs="Arial" w:eastAsia="Arial" w:hAnsi="Arial"/>
          <w:i/>
          <w:iCs/>
          <w:color w:val="888888"/>
          <w:sz w:val="17"/>
          <w:szCs w:val="17"/>
        </w:rPr>
        <w:t xml:space="preserve">Scope Opportunity 03. Commission next phase if proceeding.</w:t>
      </w:r>
    </w:p>
    <w:p>
      <w:pPr>
        <w:pStyle w:val="ListParagraph"/>
        <w:numPr>
          <w:ilvl w:val="0"/>
          <w:numId w:val="2"/>
        </w:numPr>
        <w:spacing w:after="40" w:before="40" w:line="276" w:lineRule="auto"/>
      </w:pPr>
      <w:r>
        <w:rPr>
          <w:rFonts w:ascii="Arial" w:cs="Arial" w:eastAsia="Arial" w:hAnsi="Arial"/>
          <w:color w:val="333333"/>
          <w:sz w:val="19"/>
          <w:szCs w:val="19"/>
        </w:rPr>
        <w:t xml:space="preserve">Engage JobAdder on API access. Conduct a data audit: field completion rates, naming consistency, and stage definition alignment across the team.</w:t>
      </w:r>
    </w:p>
    <w:p>
      <w:pPr>
        <w:pStyle w:val="ListParagraph"/>
        <w:numPr>
          <w:ilvl w:val="0"/>
          <w:numId w:val="2"/>
        </w:numPr>
        <w:spacing w:after="40" w:before="40" w:line="276" w:lineRule="auto"/>
      </w:pPr>
      <w:r>
        <w:rPr>
          <w:rFonts w:ascii="Arial" w:cs="Arial" w:eastAsia="Arial" w:hAnsi="Arial"/>
          <w:color w:val="333333"/>
          <w:sz w:val="19"/>
          <w:szCs w:val="19"/>
        </w:rPr>
        <w:t xml:space="preserve">Map the data structure required for the AI engagement monitoring system. Identify gaps and remediation effort.</w:t>
      </w:r>
    </w:p>
    <w:p>
      <w:pPr>
        <w:pStyle w:val="ListParagraph"/>
        <w:numPr>
          <w:ilvl w:val="0"/>
          <w:numId w:val="2"/>
        </w:numPr>
        <w:spacing w:after="40" w:before="40" w:line="276" w:lineRule="auto"/>
      </w:pPr>
      <w:r>
        <w:rPr>
          <w:rFonts w:ascii="Arial" w:cs="Arial" w:eastAsia="Arial" w:hAnsi="Arial"/>
          <w:color w:val="333333"/>
          <w:sz w:val="19"/>
          <w:szCs w:val="19"/>
        </w:rPr>
        <w:t xml:space="preserve">Commission next phase based on scope. Review Phase 1 and 2 outcomes and use confirmed time savings to sharpen the Opportunity 03 value case.</w:t>
      </w:r>
    </w:p>
    <w:p>
      <w:pPr>
        <w:spacing w:after="0" w:before="0" w:line="200" w:lineRule="exact"/>
      </w:pPr>
      <w:r>
        <w:rPr>
          <w:sz w:val="4"/>
          <w:szCs w:val="4"/>
        </w:rPr>
        <w:t xml:space="preserve"/>
      </w:r>
    </w:p>
    <w:p>
      <w:pPr>
        <w:pBdr>
          <w:top w:val="single" w:color="B8962E" w:sz="4" w:space="6"/>
          <w:bottom w:val="single" w:color="B8962E" w:sz="4" w:space="6"/>
        </w:pBdr>
        <w:spacing w:after="100" w:before="180" w:line="276" w:lineRule="auto"/>
      </w:pPr>
      <w:r>
        <w:rPr>
          <w:rFonts w:ascii="Arial" w:cs="Arial" w:eastAsia="Arial" w:hAnsi="Arial"/>
          <w:i/>
          <w:iCs/>
          <w:color w:val="1B2A4A"/>
          <w:sz w:val="19"/>
          <w:szCs w:val="19"/>
        </w:rPr>
        <w:t xml:space="preserve">Ninety days from a decision to a governed, team-wide AI workflow across three of the five opportunities, with the fourth scoped and ready to commission.</w:t>
      </w:r>
    </w:p>
    <w:p>
      <w:pPr>
        <w:pageBreakBefore/>
        <w:pBdr>
          <w:bottom w:val="single" w:color="B8962E" w:sz="3" w:space="4"/>
        </w:pBdr>
        <w:spacing w:after="140" w:before="0"/>
      </w:pPr>
      <w:r>
        <w:rPr>
          <w:rFonts w:ascii="Arial" w:cs="Arial" w:eastAsia="Arial" w:hAnsi="Arial"/>
          <w:b/>
          <w:bCs/>
          <w:color w:val="1B2A4A"/>
          <w:sz w:val="26"/>
          <w:szCs w:val="26"/>
        </w:rPr>
        <w:t xml:space="preserve">Working with Turnpoint Advisory</w:t>
      </w:r>
      <w:r>
        <w:rPr>
          <w:rFonts w:ascii="Arial" w:cs="Arial" w:eastAsia="Arial" w:hAnsi="Arial"/>
          <w:i/>
          <w:iCs/>
          <w:color w:val="B8962E"/>
          <w:sz w:val="18"/>
          <w:szCs w:val="18"/>
        </w:rPr>
        <w:t xml:space="preserve">   Sample</w:t>
      </w:r>
    </w:p>
    <w:p>
      <w:pPr>
        <w:spacing w:after="100" w:before="0" w:line="276" w:lineRule="auto"/>
      </w:pPr>
      <w:r>
        <w:rPr>
          <w:rFonts w:ascii="Arial" w:cs="Arial" w:eastAsia="Arial" w:hAnsi="Arial"/>
          <w:i w:val="false"/>
          <w:iCs w:val="false"/>
          <w:color w:val="333333"/>
          <w:sz w:val="19"/>
          <w:szCs w:val="19"/>
        </w:rPr>
        <w:t xml:space="preserve">Turnpoint Advisory works with privately owned and founder-led SMEs navigating the complexity that comes with growth. Our principals have led operations, finance, and transformation programs inside businesses like Meridian. Not as external observers. As the people accountable for the outcomes. That is the difference between advice and execution.</w:t>
      </w:r>
    </w:p>
    <w:p>
      <w:pPr>
        <w:spacing w:after="100" w:before="0" w:line="276" w:lineRule="auto"/>
      </w:pPr>
      <w:r>
        <w:rPr>
          <w:rFonts w:ascii="Arial" w:cs="Arial" w:eastAsia="Arial" w:hAnsi="Arial"/>
          <w:i w:val="false"/>
          <w:iCs w:val="false"/>
          <w:color w:val="333333"/>
          <w:sz w:val="19"/>
          <w:szCs w:val="19"/>
        </w:rPr>
        <w:t xml:space="preserve">Three paths forward.</w:t>
      </w:r>
    </w:p>
    <w:p>
      <w:pPr>
        <w:spacing w:after="0" w:before="0" w:line="120" w:lineRule="exact"/>
      </w:pPr>
      <w:r>
        <w:rPr>
          <w:sz w:val="4"/>
          <w:szCs w:val="4"/>
        </w:rPr>
        <w:t xml:space="preserve"/>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2091"/>
        <w:gridCol w:w="7414"/>
      </w:tblGrid>
      <w:tr>
        <w:trPr>
          <w:cantSplit/>
          <w:tblHeader/>
        </w:trPr>
        <w:tc>
          <w:tcPr>
            <w:tcW w:type="dxa" w:w="2091"/>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Option</w:t>
            </w:r>
          </w:p>
        </w:tc>
        <w:tc>
          <w:tcPr>
            <w:tcW w:type="dxa" w:w="7414"/>
            <w:tcBorders>
              <w:top w:val="none" w:color="FFFFFF" w:sz="0"/>
              <w:left w:val="none" w:color="FFFFFF" w:sz="0"/>
              <w:bottom w:val="single" w:color="B8962E" w:sz="8"/>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Description</w:t>
            </w:r>
          </w:p>
        </w:tc>
      </w:tr>
      <w:tr>
        <w:trPr>
          <w:cantSplit/>
        </w:trPr>
        <w:tc>
          <w:tcPr>
            <w:tcW w:type="dxa" w:w="209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Transformation Support
Fee scoped to engagement</w:t>
            </w:r>
          </w:p>
        </w:tc>
        <w:tc>
          <w:tcPr>
            <w:tcW w:type="dxa" w:w="7414"/>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Structured delivery coordination across the agreed opportunities and phases. Turnpoint maintains program momentum, manages delivery sequencing, tracks initiative ownership, and provides governance oversight and reporting. For a program of this scope, this is the path that captures the full upside.</w:t>
            </w:r>
          </w:p>
        </w:tc>
      </w:tr>
      <w:tr>
        <w:trPr>
          <w:cantSplit/>
        </w:trPr>
        <w:tc>
          <w:tcPr>
            <w:tcW w:type="dxa" w:w="2091"/>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Implementation Blueprint</w:t>
            </w:r>
          </w:p>
        </w:tc>
        <w:tc>
          <w:tcPr>
            <w:tcW w:type="dxa" w:w="7414"/>
            <w:tcBorders>
              <w:top w:val="single" w:color="DDDDDD" w:sz="4"/>
              <w:left w:val="none" w:color="FFFFFF" w:sz="0"/>
              <w:bottom w:val="single" w:color="DDDDDD" w:sz="4"/>
              <w:right w:val="none" w:color="FFFFFF" w:sz="0"/>
            </w:tcBorders>
            <w:shd w:fill="F4F5F7"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Converts the 90-day action plan into a workstream-level delivery plan: initiative ownership, governance framework, sequencing, risk and dependency mapping, and an executive readout. Defines the scope and pace of any subsequent Transformation Support engagement.</w:t>
            </w:r>
          </w:p>
        </w:tc>
      </w:tr>
      <w:tr>
        <w:trPr>
          <w:cantSplit/>
        </w:trPr>
        <w:tc>
          <w:tcPr>
            <w:tcW w:type="dxa" w:w="2091"/>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bCs/>
                <w:color w:val="1B2A4A"/>
                <w:sz w:val="19"/>
                <w:szCs w:val="19"/>
              </w:rPr>
              <w:t xml:space="preserve">Use this document as your brief</w:t>
            </w:r>
          </w:p>
        </w:tc>
        <w:tc>
          <w:tcPr>
            <w:tcW w:type="dxa" w:w="7414"/>
            <w:tcBorders>
              <w:top w:val="single" w:color="DDDDDD" w:sz="4"/>
              <w:left w:val="none" w:color="FFFFFF" w:sz="0"/>
              <w:bottom w:val="single" w:color="DDDDDD" w:sz="4"/>
              <w:right w:val="none" w:color="FFFFFF" w:sz="0"/>
            </w:tcBorders>
            <w:shd w:fill="FFFFFF" w:val="clear"/>
            <w:tcMar>
              <w:top w:type="dxa" w:w="70"/>
              <w:left w:type="dxa" w:w="120"/>
              <w:bottom w:type="dxa" w:w="70"/>
              <w:right w:type="dxa" w:w="120"/>
            </w:tcMar>
            <w:vAlign w:val="center"/>
          </w:tcPr>
          <w:p>
            <w:pPr>
              <w:jc w:val="left"/>
            </w:pPr>
            <w:r>
              <w:rPr>
                <w:rFonts w:ascii="Arial" w:cs="Arial" w:eastAsia="Arial" w:hAnsi="Arial"/>
                <w:b w:val="false"/>
                <w:bCs w:val="false"/>
                <w:color w:val="333333"/>
                <w:sz w:val="19"/>
                <w:szCs w:val="19"/>
              </w:rPr>
              <w:t xml:space="preserve">Section 4 contains enough structure to engage a technology partner or internal team on Opportunities 01 and 02 directly. No further scoping required.</w:t>
            </w:r>
          </w:p>
        </w:tc>
      </w:tr>
    </w:tbl>
    <w:p>
      <w:pPr>
        <w:spacing w:after="0" w:before="0" w:line="280" w:lineRule="exact"/>
      </w:pPr>
      <w:r>
        <w:rPr>
          <w:sz w:val="4"/>
          <w:szCs w:val="4"/>
        </w:rPr>
        <w:t xml:space="preserve"/>
      </w:r>
    </w:p>
    <w:tbl>
      <w:tblPr>
        <w:tblW w:type="dxa" w:w="9506"/>
        <w:tblBorders>
          <w:top w:val="none" w:color="FFFFFF" w:sz="0"/>
          <w:left w:val="none" w:color="FFFFFF" w:sz="0"/>
          <w:bottom w:val="none" w:color="FFFFFF" w:sz="0"/>
          <w:right w:val="none" w:color="FFFFFF" w:sz="0"/>
          <w:insideH w:val="single" w:color="auto" w:sz="4"/>
          <w:insideV w:val="single" w:color="auto" w:sz="4"/>
        </w:tblBorders>
      </w:tblPr>
      <w:tblGrid>
        <w:gridCol w:w="9506"/>
      </w:tblGrid>
      <w:tr>
        <w:trPr>
          <w:cantSplit/>
        </w:trPr>
        <w:tc>
          <w:tcPr>
            <w:tcW w:type="dxa" w:w="9506"/>
            <w:tcBorders>
              <w:top w:val="none" w:color="FFFFFF" w:sz="0"/>
              <w:left w:val="none" w:color="FFFFFF" w:sz="0"/>
              <w:bottom w:val="none" w:color="FFFFFF" w:sz="0"/>
              <w:right w:val="none" w:color="FFFFFF" w:sz="0"/>
            </w:tcBorders>
            <w:shd w:fill="1B2A4A" w:val="clear"/>
            <w:tcMar>
              <w:top w:type="dxa" w:w="180"/>
              <w:left w:type="dxa" w:w="240"/>
              <w:bottom w:type="dxa" w:w="180"/>
              <w:right w:type="dxa" w:w="240"/>
            </w:tcMar>
          </w:tcPr>
          <w:p>
            <w:pPr>
              <w:spacing w:after="80"/>
            </w:pPr>
            <w:r>
              <w:rPr>
                <w:rFonts w:ascii="Georgia" w:cs="Georgia" w:eastAsia="Georgia" w:hAnsi="Georgia"/>
                <w:b/>
                <w:bCs/>
                <w:color w:val="B8962E"/>
                <w:sz w:val="26"/>
                <w:szCs w:val="26"/>
              </w:rPr>
              <w:t xml:space="preserve">Ready to move?</w:t>
            </w:r>
          </w:p>
          <w:p>
            <w:pPr>
              <w:spacing w:after="80" w:line="276" w:lineRule="auto"/>
            </w:pPr>
            <w:r>
              <w:rPr>
                <w:rFonts w:ascii="Arial" w:cs="Arial" w:eastAsia="Arial" w:hAnsi="Arial"/>
                <w:color w:val="FFFFFF"/>
                <w:sz w:val="19"/>
                <w:szCs w:val="19"/>
              </w:rPr>
              <w:t xml:space="preserve">Contact Tony Sivaa to discuss which path makes sense for Meridian. The conversation starts with which opportunities to move on first and what level of support is right.</w:t>
            </w:r>
          </w:p>
          <w:p>
            <w:r>
              <w:rPr>
                <w:rFonts w:ascii="Arial" w:cs="Arial" w:eastAsia="Arial" w:hAnsi="Arial"/>
                <w:b/>
                <w:bCs/>
                <w:color w:val="B8962E"/>
                <w:sz w:val="19"/>
                <w:szCs w:val="19"/>
              </w:rPr>
              <w:t xml:space="preserve">Tony Sivaa  |  Turnpoint Advisory  |  turnpointadvisory.com.au</w:t>
            </w:r>
          </w:p>
        </w:tc>
      </w:tr>
    </w:tbl>
    <w:p>
      <w:pPr>
        <w:spacing w:after="0" w:before="0" w:line="200" w:lineRule="exact"/>
      </w:pPr>
      <w:r>
        <w:rPr>
          <w:sz w:val="4"/>
          <w:szCs w:val="4"/>
        </w:rPr>
        <w:t xml:space="preserve"/>
      </w:r>
    </w:p>
    <w:p>
      <w:pPr>
        <w:pBdr>
          <w:top w:val="single" w:color="B8962E" w:sz="4" w:space="6"/>
          <w:bottom w:val="single" w:color="B8962E" w:sz="4" w:space="6"/>
        </w:pBdr>
        <w:spacing w:after="100" w:before="180" w:line="276" w:lineRule="auto"/>
      </w:pPr>
      <w:r>
        <w:rPr>
          <w:rFonts w:ascii="Arial" w:cs="Arial" w:eastAsia="Arial" w:hAnsi="Arial"/>
          <w:i/>
          <w:iCs/>
          <w:color w:val="1B2A4A"/>
          <w:sz w:val="19"/>
          <w:szCs w:val="19"/>
        </w:rPr>
        <w:t xml:space="preserve">Most businesses at this scale have identified what needs to change. The gap is execution capacity. That is what Turnpoint provides.</w:t>
      </w:r>
    </w:p>
    <w:p>
      <w:pPr>
        <w:spacing w:after="0" w:before="0" w:line="240" w:lineRule="exact"/>
      </w:pPr>
      <w:r>
        <w:rPr>
          <w:sz w:val="4"/>
          <w:szCs w:val="4"/>
        </w:rPr>
        <w:t xml:space="preserve"/>
      </w:r>
    </w:p>
    <w:p>
      <w:pPr>
        <w:pBdr>
          <w:top w:val="single" w:color="DDDDDD" w:sz="4" w:space="1"/>
        </w:pBdr>
        <w:spacing w:after="60" w:before="0"/>
      </w:pPr>
      <w:r>
        <w:rPr>
          <w:sz w:val="4"/>
          <w:szCs w:val="4"/>
        </w:rPr>
        <w:t xml:space="preserve"/>
      </w:r>
    </w:p>
    <w:p>
      <w:pPr>
        <w:spacing w:after="0" w:before="0" w:line="252" w:lineRule="auto"/>
      </w:pPr>
      <w:r>
        <w:rPr>
          <w:rFonts w:ascii="Arial" w:cs="Arial" w:eastAsia="Arial" w:hAnsi="Arial"/>
          <w:i/>
          <w:iCs/>
          <w:color w:val="888888"/>
          <w:sz w:val="16"/>
          <w:szCs w:val="16"/>
        </w:rPr>
        <w:t xml:space="preserve">This document is a directional assessment prepared from information provided by and discussions with Meridian Recruitment Group. Value estimates are built from stated operating parameters and are directional in nature. They are not guaranteed commercial outcomes. Actual results will depend on implementation quality, team adoption, and operating conditions at the time of deployment.</w:t>
      </w:r>
    </w:p>
    <w:sectPr>
      <w:headerReference w:type="default" r:id="rId7"/>
      <w:footerReference w:type="default" r:id="rId8"/>
      <w:pgSz w:w="11906" w:h="16838" w:orient="portrait"/>
      <w:pgMar w:top="1080" w:right="1200" w:bottom="144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tabs>
        <w:tab w:val="right" w:pos="9506"/>
      </w:tabs>
      <w:spacing w:before="60"/>
    </w:pPr>
    <w:r>
      <w:rPr>
        <w:rFonts w:ascii="Arial" w:cs="Arial" w:eastAsia="Arial" w:hAnsi="Arial"/>
        <w:color w:val="888888"/>
        <w:sz w:val="15"/>
        <w:szCs w:val="15"/>
      </w:rPr>
      <w:t xml:space="preserve">Turnpoint Advisory  |  turnpointadvisory.com.au</w:t>
    </w:r>
    <w:r>
      <w:t xml:space="preserve">	</w:t>
    </w:r>
    <w:r>
      <w:rPr>
        <w:rFonts w:ascii="Arial" w:cs="Arial" w:eastAsia="Arial" w:hAnsi="Arial"/>
        <w:color w:val="888888"/>
        <w:sz w:val="15"/>
        <w:szCs w:val="15"/>
      </w:rPr>
      <w:t xml:space="preserve">Page </w:t>
    </w:r>
    <w:r>
      <w:rPr>
        <w:rFonts w:ascii="Arial" w:cs="Arial" w:eastAsia="Arial" w:hAnsi="Arial"/>
        <w:color w:val="888888"/>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506"/>
      <w:tblBorders>
        <w:top w:val="none" w:color="FFFFFF" w:sz="0"/>
        <w:left w:val="none" w:color="FFFFFF" w:sz="0"/>
        <w:bottom w:val="single" w:color="1B2A4A" w:sz="6" w:space="4"/>
        <w:right w:val="none" w:color="FFFFFF" w:sz="0"/>
        <w:insideH w:val="single" w:color="auto" w:sz="4"/>
        <w:insideV w:val="single" w:color="auto" w:sz="4"/>
      </w:tblBorders>
    </w:tblPr>
    <w:tblGrid>
      <w:gridCol w:w="5228"/>
      <w:gridCol w:w="4277"/>
    </w:tblGrid>
    <w:tr>
      <w:tc>
        <w:tcPr>
          <w:tcW w:type="dxa" w:w="5228"/>
          <w:tcBorders>
            <w:top w:val="none" w:color="FFFFFF" w:sz="0"/>
            <w:left w:val="none" w:color="FFFFFF" w:sz="0"/>
            <w:bottom w:val="none" w:color="FFFFFF" w:sz="0"/>
            <w:right w:val="none" w:color="FFFFFF" w:sz="0"/>
          </w:tcBorders>
          <w:tcMar>
            <w:top w:type="dxa" w:w="0"/>
            <w:left w:type="dxa" w:w="0"/>
            <w:bottom w:type="dxa" w:w="60"/>
            <w:right w:type="dxa" w:w="0"/>
          </w:tcMar>
        </w:tcPr>
        <w:p>
          <w:r>
            <w:rPr>
              <w:rFonts w:ascii="Arial" w:cs="Arial" w:eastAsia="Arial" w:hAnsi="Arial"/>
              <w:b/>
              <w:bCs/>
              <w:color w:val="1B2A4A"/>
              <w:sz w:val="22"/>
              <w:szCs w:val="22"/>
            </w:rPr>
            <w:t xml:space="preserve">TPA</w:t>
          </w:r>
          <w:r>
            <w:rPr>
              <w:rFonts w:ascii="Arial" w:cs="Arial" w:eastAsia="Arial" w:hAnsi="Arial"/>
              <w:b/>
              <w:bCs/>
              <w:color w:val="B8962E"/>
              <w:sz w:val="22"/>
              <w:szCs w:val="22"/>
            </w:rPr>
            <w:t xml:space="preserve">.</w:t>
          </w:r>
          <w:r>
            <w:rPr>
              <w:rFonts w:ascii="Arial" w:cs="Arial" w:eastAsia="Arial" w:hAnsi="Arial"/>
              <w:color w:val="1B2A4A"/>
              <w:sz w:val="17"/>
              <w:szCs w:val="17"/>
            </w:rPr>
            <w:t xml:space="preserve">  AI Readiness Assessment</w:t>
          </w:r>
        </w:p>
      </w:tc>
      <w:tc>
        <w:tcPr>
          <w:tcW w:type="dxa" w:w="4277"/>
          <w:tcBorders>
            <w:top w:val="none" w:color="FFFFFF" w:sz="0"/>
            <w:left w:val="none" w:color="FFFFFF" w:sz="0"/>
            <w:bottom w:val="none" w:color="FFFFFF" w:sz="0"/>
            <w:right w:val="none" w:color="FFFFFF" w:sz="0"/>
          </w:tcBorders>
          <w:tcMar>
            <w:top w:type="dxa" w:w="0"/>
            <w:left w:type="dxa" w:w="0"/>
            <w:bottom w:type="dxa" w:w="60"/>
            <w:right w:type="dxa" w:w="0"/>
          </w:tcMar>
        </w:tcPr>
        <w:p>
          <w:pPr>
            <w:jc w:val="right"/>
          </w:pPr>
          <w:r>
            <w:rPr>
              <w:rFonts w:ascii="Arial" w:cs="Arial" w:eastAsia="Arial" w:hAnsi="Arial"/>
              <w:color w:val="888888"/>
              <w:sz w:val="17"/>
              <w:szCs w:val="17"/>
            </w:rPr>
            <w:t xml:space="preserve">Private and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B2A0142D22B4081431678878B0CD5" ma:contentTypeVersion="10" ma:contentTypeDescription="Create a new document." ma:contentTypeScope="" ma:versionID="0ca818c2bf7ff3b2ecae8cd02eb72e3f">
  <xsd:schema xmlns:xsd="http://www.w3.org/2001/XMLSchema" xmlns:xs="http://www.w3.org/2001/XMLSchema" xmlns:p="http://schemas.microsoft.com/office/2006/metadata/properties" xmlns:ns2="275191a0-5d33-4c2c-a7eb-108e9ce9d46b" xmlns:ns3="cc08ca1f-4e98-433b-b387-3b9fcfa15e33" targetNamespace="http://schemas.microsoft.com/office/2006/metadata/properties" ma:root="true" ma:fieldsID="b518ced4877d276572c3d9040edeb60c" ns2:_="" ns3:_="">
    <xsd:import namespace="275191a0-5d33-4c2c-a7eb-108e9ce9d46b"/>
    <xsd:import namespace="cc08ca1f-4e98-433b-b387-3b9fcfa15e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191a0-5d33-4c2c-a7eb-108e9ce9d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0f4123-788c-4001-a425-24346b6ed3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8ca1f-4e98-433b-b387-3b9fcfa15e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238f0b-63f7-4b3f-a78e-4a1b826d92ee}" ma:internalName="TaxCatchAll" ma:showField="CatchAllData" ma:web="cc08ca1f-4e98-433b-b387-3b9fcfa15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08ca1f-4e98-433b-b387-3b9fcfa15e33" xsi:nil="true"/>
    <lcf76f155ced4ddcb4097134ff3c332f xmlns="275191a0-5d33-4c2c-a7eb-108e9ce9d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F7483F-E04B-4795-9A92-86F4AF1E23C2}"/>
</file>

<file path=customXml/itemProps2.xml><?xml version="1.0" encoding="utf-8"?>
<ds:datastoreItem xmlns:ds="http://schemas.openxmlformats.org/officeDocument/2006/customXml" ds:itemID="{8C8D0C0D-5AAE-4574-9C5A-BBA2B19A59D8}"/>
</file>

<file path=customXml/itemProps3.xml><?xml version="1.0" encoding="utf-8"?>
<ds:datastoreItem xmlns:ds="http://schemas.openxmlformats.org/officeDocument/2006/customXml" ds:itemID="{3A5CB708-37D7-4348-A52C-E6964DE8665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2026-06-04T05:04:34Z</dcterms:created>
  <dcterms:modified xsi:type="dcterms:W3CDTF">2026-06-04T05:04:34Z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0x0101000E1B2A0142D22B4081431678878B0CD5</vt:lpwstr>
  </property>
</Properties>
</file>